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2B7C" w14:textId="77777777" w:rsidR="00B00093" w:rsidRPr="006B3801" w:rsidRDefault="00B00093" w:rsidP="006B3801">
      <w:pPr>
        <w:pStyle w:val="AralkYok"/>
      </w:pPr>
    </w:p>
    <w:p w14:paraId="103123EB" w14:textId="77777777" w:rsidR="00A458A2" w:rsidRPr="003127E7" w:rsidRDefault="005D5E1D" w:rsidP="00A458A2">
      <w:pPr>
        <w:pStyle w:val="Balk1"/>
        <w:spacing w:before="0" w:line="240" w:lineRule="auto"/>
        <w:ind w:right="-1320"/>
        <w:rPr>
          <w:rFonts w:asciiTheme="minorHAnsi" w:hAnsiTheme="minorHAnsi" w:cs="Arial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</w:p>
    <w:p w14:paraId="483BA931" w14:textId="77777777" w:rsidR="005D5E1D" w:rsidRPr="003127E7" w:rsidRDefault="004C75D2" w:rsidP="00A458A2">
      <w:pPr>
        <w:pStyle w:val="Balk1"/>
        <w:spacing w:before="0" w:line="240" w:lineRule="auto"/>
        <w:ind w:left="7080" w:right="-1320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noProof/>
          <w:lang w:eastAsia="tr-T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806D0F" wp14:editId="0FE4A0D5">
                <wp:simplePos x="0" y="0"/>
                <wp:positionH relativeFrom="column">
                  <wp:posOffset>-857250</wp:posOffset>
                </wp:positionH>
                <wp:positionV relativeFrom="paragraph">
                  <wp:posOffset>277494</wp:posOffset>
                </wp:positionV>
                <wp:extent cx="5662295" cy="0"/>
                <wp:effectExtent l="0" t="19050" r="146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21.85pt;width:44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" strokecolor="#002060" strokeweight="4.5pt"/>
            </w:pict>
          </mc:Fallback>
        </mc:AlternateContent>
      </w:r>
      <w:r w:rsidR="005D5E1D" w:rsidRPr="003127E7">
        <w:rPr>
          <w:rFonts w:asciiTheme="minorHAnsi" w:hAnsiTheme="minorHAnsi" w:cs="Arial"/>
          <w:color w:val="002060"/>
          <w:sz w:val="36"/>
        </w:rPr>
        <w:t xml:space="preserve"> </w:t>
      </w:r>
      <w:r w:rsidR="003127E7">
        <w:rPr>
          <w:rFonts w:asciiTheme="minorHAnsi" w:hAnsiTheme="minorHAnsi" w:cs="Arial"/>
          <w:color w:val="002060"/>
          <w:sz w:val="36"/>
        </w:rPr>
        <w:t xml:space="preserve">       </w:t>
      </w:r>
      <w:r w:rsidR="005D5E1D" w:rsidRPr="003127E7">
        <w:rPr>
          <w:rFonts w:asciiTheme="minorHAnsi" w:hAnsiTheme="minorHAnsi" w:cs="Arial"/>
          <w:color w:val="002060"/>
          <w:sz w:val="36"/>
        </w:rPr>
        <w:t>HABER BÜLTENİ</w:t>
      </w:r>
    </w:p>
    <w:p w14:paraId="33D686D5" w14:textId="11653B95" w:rsidR="00135956" w:rsidRPr="00135956" w:rsidRDefault="005D5E1D" w:rsidP="00135956">
      <w:pPr>
        <w:pStyle w:val="Balk1"/>
        <w:spacing w:before="0" w:line="240" w:lineRule="auto"/>
        <w:ind w:right="-1200"/>
        <w:rPr>
          <w:rFonts w:asciiTheme="minorHAnsi" w:hAnsiTheme="minorHAnsi" w:cs="Arial"/>
          <w:color w:val="002060"/>
        </w:rPr>
      </w:pP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</w:r>
      <w:r w:rsidRPr="003127E7">
        <w:rPr>
          <w:rFonts w:asciiTheme="minorHAnsi" w:hAnsiTheme="minorHAnsi" w:cs="Arial"/>
        </w:rPr>
        <w:tab/>
        <w:t xml:space="preserve">  </w:t>
      </w:r>
      <w:r w:rsidRPr="003127E7">
        <w:rPr>
          <w:rFonts w:asciiTheme="minorHAnsi" w:hAnsiTheme="minorHAnsi" w:cs="Arial"/>
          <w:sz w:val="24"/>
        </w:rPr>
        <w:t xml:space="preserve"> </w:t>
      </w:r>
      <w:r w:rsidR="003127E7">
        <w:rPr>
          <w:rFonts w:asciiTheme="minorHAnsi" w:hAnsiTheme="minorHAnsi" w:cs="Arial"/>
          <w:sz w:val="24"/>
        </w:rPr>
        <w:t xml:space="preserve">        </w:t>
      </w:r>
      <w:r w:rsidR="009A31B6">
        <w:rPr>
          <w:rFonts w:asciiTheme="minorHAnsi" w:hAnsiTheme="minorHAnsi" w:cs="Arial"/>
          <w:sz w:val="24"/>
        </w:rPr>
        <w:t xml:space="preserve"> </w:t>
      </w:r>
      <w:r w:rsidR="00C60B51">
        <w:rPr>
          <w:rFonts w:asciiTheme="minorHAnsi" w:hAnsiTheme="minorHAnsi" w:cs="Arial"/>
          <w:color w:val="002060"/>
        </w:rPr>
        <w:t>0</w:t>
      </w:r>
      <w:r w:rsidR="00C340F0">
        <w:rPr>
          <w:rFonts w:asciiTheme="minorHAnsi" w:hAnsiTheme="minorHAnsi" w:cs="Arial"/>
          <w:color w:val="002060"/>
        </w:rPr>
        <w:t>2</w:t>
      </w:r>
      <w:r w:rsidR="00323CD1" w:rsidRPr="003127E7">
        <w:rPr>
          <w:rFonts w:asciiTheme="minorHAnsi" w:hAnsiTheme="minorHAnsi" w:cs="Arial"/>
          <w:color w:val="002060"/>
        </w:rPr>
        <w:t>.</w:t>
      </w:r>
      <w:r w:rsidR="00C340F0">
        <w:rPr>
          <w:rFonts w:asciiTheme="minorHAnsi" w:hAnsiTheme="minorHAnsi" w:cs="Arial"/>
          <w:color w:val="002060"/>
        </w:rPr>
        <w:t>06</w:t>
      </w:r>
      <w:r w:rsidR="00A90A05">
        <w:rPr>
          <w:rFonts w:asciiTheme="minorHAnsi" w:hAnsiTheme="minorHAnsi" w:cs="Arial"/>
          <w:color w:val="002060"/>
        </w:rPr>
        <w:t>.</w:t>
      </w:r>
      <w:proofErr w:type="gramStart"/>
      <w:r w:rsidR="00A90A05">
        <w:rPr>
          <w:rFonts w:asciiTheme="minorHAnsi" w:hAnsiTheme="minorHAnsi" w:cs="Arial"/>
          <w:color w:val="002060"/>
        </w:rPr>
        <w:t>201</w:t>
      </w:r>
      <w:r w:rsidR="00DF5704">
        <w:rPr>
          <w:rFonts w:asciiTheme="minorHAnsi" w:hAnsiTheme="minorHAnsi" w:cs="Arial"/>
          <w:color w:val="002060"/>
        </w:rPr>
        <w:t>7</w:t>
      </w:r>
      <w:r w:rsidR="00F62398">
        <w:rPr>
          <w:rFonts w:asciiTheme="minorHAnsi" w:hAnsiTheme="minorHAnsi" w:cs="Arial"/>
          <w:color w:val="002060"/>
        </w:rPr>
        <w:t xml:space="preserve"> </w:t>
      </w:r>
      <w:r w:rsidR="00DB1A19">
        <w:rPr>
          <w:rFonts w:asciiTheme="minorHAnsi" w:hAnsiTheme="minorHAnsi" w:cs="Arial"/>
          <w:color w:val="002060"/>
        </w:rPr>
        <w:t xml:space="preserve">   </w:t>
      </w:r>
      <w:r w:rsidR="00DF5704">
        <w:rPr>
          <w:rFonts w:asciiTheme="minorHAnsi" w:hAnsiTheme="minorHAnsi" w:cs="Arial"/>
          <w:color w:val="002060"/>
        </w:rPr>
        <w:t>Sayı</w:t>
      </w:r>
      <w:proofErr w:type="gramEnd"/>
      <w:r w:rsidR="00DF5704">
        <w:rPr>
          <w:rFonts w:asciiTheme="minorHAnsi" w:hAnsiTheme="minorHAnsi" w:cs="Arial"/>
          <w:color w:val="002060"/>
        </w:rPr>
        <w:t xml:space="preserve"> 8</w:t>
      </w:r>
      <w:r w:rsidR="00C340F0">
        <w:rPr>
          <w:rFonts w:asciiTheme="minorHAnsi" w:hAnsiTheme="minorHAnsi" w:cs="Arial"/>
          <w:color w:val="002060"/>
        </w:rPr>
        <w:t>9</w:t>
      </w:r>
    </w:p>
    <w:p w14:paraId="47FF5E8A" w14:textId="1018D2A7" w:rsidR="009C2B1D" w:rsidRPr="00B06B01" w:rsidRDefault="00CA7D56" w:rsidP="008D0E36">
      <w:pPr>
        <w:keepNext/>
        <w:keepLines/>
        <w:spacing w:after="0" w:line="240" w:lineRule="auto"/>
        <w:ind w:right="-1200"/>
        <w:jc w:val="both"/>
        <w:outlineLvl w:val="0"/>
        <w:rPr>
          <w:rFonts w:asciiTheme="minorHAnsi" w:eastAsia="Times New Roman" w:hAnsiTheme="minorHAnsi" w:cs="Arial"/>
          <w:b/>
          <w:bCs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PERAKENDEDE </w:t>
      </w:r>
      <w:r w:rsidR="00900413">
        <w:rPr>
          <w:rFonts w:asciiTheme="minorHAnsi" w:eastAsia="Times New Roman" w:hAnsiTheme="minorHAnsi" w:cs="Arial"/>
          <w:b/>
          <w:bCs/>
          <w:sz w:val="28"/>
          <w:szCs w:val="28"/>
        </w:rPr>
        <w:t>İŞLER TOPARLANMIYOR</w:t>
      </w:r>
      <w:r w:rsidR="005D5B0C">
        <w:rPr>
          <w:rFonts w:asciiTheme="minorHAnsi" w:eastAsia="Times New Roman" w:hAnsiTheme="minorHAnsi" w:cs="Arial"/>
          <w:b/>
          <w:bCs/>
          <w:sz w:val="28"/>
          <w:szCs w:val="28"/>
        </w:rPr>
        <w:t>, TEPE YİNE DİPTE</w:t>
      </w:r>
    </w:p>
    <w:p w14:paraId="2ADAA0B6" w14:textId="56549226" w:rsidR="009C2B1D" w:rsidRPr="00113A5B" w:rsidRDefault="00000E52" w:rsidP="00FD5DC3">
      <w:pPr>
        <w:pStyle w:val="Balk2"/>
        <w:spacing w:line="240" w:lineRule="auto"/>
        <w:jc w:val="both"/>
        <w:rPr>
          <w:rFonts w:asciiTheme="minorHAnsi" w:hAnsiTheme="minorHAnsi" w:cs="Arial"/>
          <w:b w:val="0"/>
          <w:color w:val="000000" w:themeColor="text1"/>
          <w:sz w:val="24"/>
        </w:rPr>
      </w:pPr>
      <w:r w:rsidRPr="00B8373B">
        <w:rPr>
          <w:rFonts w:asciiTheme="minorHAnsi" w:hAnsiTheme="minorHAnsi" w:cs="Arial"/>
          <w:b w:val="0"/>
          <w:color w:val="000000" w:themeColor="text1"/>
          <w:sz w:val="24"/>
        </w:rPr>
        <w:t>Nisan ayında</w:t>
      </w:r>
      <w:r w:rsidR="007578AD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son 9</w:t>
      </w:r>
      <w:r w:rsidR="00257942" w:rsidRPr="00B8373B">
        <w:rPr>
          <w:rFonts w:asciiTheme="minorHAnsi" w:hAnsiTheme="minorHAnsi" w:cs="Arial"/>
          <w:b w:val="0"/>
          <w:color w:val="000000" w:themeColor="text1"/>
          <w:sz w:val="24"/>
        </w:rPr>
        <w:t>9 ayın en düşük seviyesini gören perakende güveni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>,</w:t>
      </w:r>
      <w:r w:rsidR="00257942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Mayıs</w:t>
      </w:r>
      <w:r w:rsidR="00502FBE">
        <w:rPr>
          <w:rFonts w:asciiTheme="minorHAnsi" w:hAnsiTheme="minorHAnsi" w:cs="Arial"/>
          <w:b w:val="0"/>
          <w:color w:val="000000" w:themeColor="text1"/>
          <w:sz w:val="24"/>
        </w:rPr>
        <w:t xml:space="preserve"> ayında da bu seviyesini korudu</w:t>
      </w:r>
      <w:r w:rsidR="00FB0DC6" w:rsidRPr="00B8373B">
        <w:rPr>
          <w:rFonts w:asciiTheme="minorHAnsi" w:hAnsiTheme="minorHAnsi" w:cs="Arial"/>
          <w:b w:val="0"/>
          <w:color w:val="000000" w:themeColor="text1"/>
          <w:sz w:val="24"/>
        </w:rPr>
        <w:t>.</w:t>
      </w:r>
      <w:r w:rsidR="00502FBE">
        <w:rPr>
          <w:rFonts w:asciiTheme="minorHAnsi" w:hAnsiTheme="minorHAnsi" w:cs="Arial"/>
          <w:b w:val="0"/>
          <w:color w:val="000000" w:themeColor="text1"/>
          <w:sz w:val="24"/>
        </w:rPr>
        <w:t xml:space="preserve"> Bir önceki aya göre </w:t>
      </w:r>
      <w:r w:rsidR="00FD5DC3">
        <w:rPr>
          <w:rFonts w:asciiTheme="minorHAnsi" w:hAnsiTheme="minorHAnsi" w:cs="Arial"/>
          <w:b w:val="0"/>
          <w:color w:val="000000" w:themeColor="text1"/>
          <w:sz w:val="24"/>
        </w:rPr>
        <w:t>sınırlı bir artış (0,5 puan) sergileyen</w:t>
      </w:r>
      <w:r w:rsidR="00502FBE">
        <w:rPr>
          <w:rFonts w:asciiTheme="minorHAnsi" w:hAnsiTheme="minorHAnsi" w:cs="Arial"/>
          <w:b w:val="0"/>
          <w:color w:val="000000" w:themeColor="text1"/>
          <w:sz w:val="24"/>
        </w:rPr>
        <w:t xml:space="preserve"> endeks, bir önceki yılın aynı dönemine göre ise </w:t>
      </w:r>
      <w:r w:rsidR="00FD5DC3">
        <w:rPr>
          <w:rFonts w:asciiTheme="minorHAnsi" w:hAnsiTheme="minorHAnsi" w:cs="Arial"/>
          <w:b w:val="0"/>
          <w:color w:val="000000" w:themeColor="text1"/>
          <w:sz w:val="24"/>
        </w:rPr>
        <w:t>6,8</w:t>
      </w:r>
      <w:r w:rsidR="00502FBE">
        <w:rPr>
          <w:rFonts w:asciiTheme="minorHAnsi" w:hAnsiTheme="minorHAnsi" w:cs="Arial"/>
          <w:b w:val="0"/>
          <w:color w:val="000000" w:themeColor="text1"/>
          <w:sz w:val="24"/>
        </w:rPr>
        <w:t xml:space="preserve"> puanlık bir düşüş kaydetti. Bu düşüşte </w:t>
      </w:r>
      <w:r w:rsidR="00593F48" w:rsidRPr="00B8373B">
        <w:rPr>
          <w:rFonts w:asciiTheme="minorHAnsi" w:hAnsiTheme="minorHAnsi" w:cs="Arial"/>
          <w:b w:val="0"/>
          <w:color w:val="000000" w:themeColor="text1"/>
          <w:sz w:val="24"/>
        </w:rPr>
        <w:t>geçtiğimiz 3 ayda işlerin</w:t>
      </w:r>
      <w:r w:rsidR="008831D4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gelişimi ve </w:t>
      </w:r>
      <w:r w:rsidR="00140E02" w:rsidRPr="00B8373B">
        <w:rPr>
          <w:rFonts w:asciiTheme="minorHAnsi" w:hAnsiTheme="minorHAnsi" w:cs="Arial"/>
          <w:b w:val="0"/>
          <w:color w:val="000000" w:themeColor="text1"/>
          <w:sz w:val="24"/>
        </w:rPr>
        <w:t>önümüzdeki 3 aya</w:t>
      </w:r>
      <w:r w:rsidR="008831D4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ilişkin satış beklentilerinde</w:t>
      </w:r>
      <w:r w:rsidR="007578AD" w:rsidRPr="00B8373B">
        <w:rPr>
          <w:rFonts w:asciiTheme="minorHAnsi" w:hAnsiTheme="minorHAnsi" w:cs="Arial"/>
          <w:b w:val="0"/>
          <w:color w:val="000000" w:themeColor="text1"/>
          <w:sz w:val="24"/>
        </w:rPr>
        <w:t>ki</w:t>
      </w:r>
      <w:r w:rsidR="00D54979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8831D4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düşüş 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etkili </w:t>
      </w:r>
      <w:r w:rsidR="00502FBE">
        <w:rPr>
          <w:rFonts w:asciiTheme="minorHAnsi" w:hAnsiTheme="minorHAnsi" w:cs="Arial"/>
          <w:b w:val="0"/>
          <w:color w:val="000000" w:themeColor="text1"/>
          <w:sz w:val="24"/>
        </w:rPr>
        <w:t>oldu.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“Elektrikli ev aletleri, radyo ve televizyonlar”</w:t>
      </w:r>
      <w:r w:rsidR="008831D4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140E02" w:rsidRPr="00B8373B">
        <w:rPr>
          <w:rFonts w:asciiTheme="minorHAnsi" w:hAnsiTheme="minorHAnsi" w:cs="Arial"/>
          <w:b w:val="0"/>
          <w:color w:val="000000" w:themeColor="text1"/>
          <w:sz w:val="24"/>
        </w:rPr>
        <w:t>sektör</w:t>
      </w:r>
      <w:r w:rsidR="00504538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ü 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>Mayıs</w:t>
      </w:r>
      <w:r w:rsidR="00504538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ayında perakende güveninde 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en fazla </w:t>
      </w:r>
      <w:r w:rsidR="00504538" w:rsidRPr="00B8373B">
        <w:rPr>
          <w:rFonts w:asciiTheme="minorHAnsi" w:hAnsiTheme="minorHAnsi" w:cs="Arial"/>
          <w:b w:val="0"/>
          <w:color w:val="000000" w:themeColor="text1"/>
          <w:sz w:val="24"/>
        </w:rPr>
        <w:t>artış gösteren sektör oldu</w:t>
      </w:r>
      <w:r w:rsidR="00311EB2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. </w:t>
      </w:r>
      <w:r w:rsidR="00C9714B" w:rsidRPr="00B8373B">
        <w:rPr>
          <w:rFonts w:asciiTheme="minorHAnsi" w:hAnsiTheme="minorHAnsi" w:cs="Arial"/>
          <w:b w:val="0"/>
          <w:color w:val="000000" w:themeColor="text1"/>
          <w:sz w:val="24"/>
        </w:rPr>
        <w:t>AB-28 ve Euro Bölgesi ile karşılaştırıldığı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>nda ise Türkiye’nin performansı</w:t>
      </w:r>
      <w:r w:rsidR="008831D4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 </w:t>
      </w:r>
      <w:r w:rsidR="00C9714B" w:rsidRPr="00B8373B">
        <w:rPr>
          <w:rFonts w:asciiTheme="minorHAnsi" w:hAnsiTheme="minorHAnsi" w:cs="Arial"/>
          <w:b w:val="0"/>
          <w:color w:val="000000" w:themeColor="text1"/>
          <w:sz w:val="24"/>
        </w:rPr>
        <w:t xml:space="preserve">geçen yıla </w:t>
      </w:r>
      <w:r w:rsidR="00B8373B" w:rsidRPr="00B8373B">
        <w:rPr>
          <w:rFonts w:asciiTheme="minorHAnsi" w:hAnsiTheme="minorHAnsi" w:cs="Arial"/>
          <w:b w:val="0"/>
          <w:color w:val="000000" w:themeColor="text1"/>
          <w:sz w:val="24"/>
        </w:rPr>
        <w:t>göre kötüleşirken, geçen aya göre iyileşti</w:t>
      </w:r>
      <w:r w:rsidR="00C9714B" w:rsidRPr="00B8373B">
        <w:rPr>
          <w:rFonts w:asciiTheme="minorHAnsi" w:hAnsiTheme="minorHAnsi" w:cs="Arial"/>
          <w:b w:val="0"/>
          <w:color w:val="000000" w:themeColor="text1"/>
          <w:sz w:val="24"/>
        </w:rPr>
        <w:t>.</w:t>
      </w:r>
    </w:p>
    <w:p w14:paraId="20543206" w14:textId="3C567F6E" w:rsidR="00201819" w:rsidRPr="009C2B1D" w:rsidRDefault="009A1DC3" w:rsidP="009C2B1D">
      <w:pPr>
        <w:pStyle w:val="Balk2"/>
        <w:spacing w:line="240" w:lineRule="auto"/>
        <w:jc w:val="both"/>
        <w:rPr>
          <w:rFonts w:asciiTheme="minorHAnsi" w:hAnsiTheme="minorHAnsi" w:cs="Arial"/>
          <w:color w:val="0070C0"/>
          <w:sz w:val="28"/>
        </w:rPr>
      </w:pPr>
      <w:r w:rsidRPr="00113A5B">
        <w:rPr>
          <w:rFonts w:asciiTheme="minorHAnsi" w:hAnsiTheme="minorHAnsi" w:cs="Arial"/>
          <w:color w:val="0070C0"/>
          <w:sz w:val="28"/>
        </w:rPr>
        <w:t>P</w:t>
      </w:r>
      <w:r w:rsidR="00B52DBC" w:rsidRPr="00113A5B">
        <w:rPr>
          <w:rFonts w:asciiTheme="minorHAnsi" w:hAnsiTheme="minorHAnsi" w:cs="Arial"/>
          <w:color w:val="0070C0"/>
          <w:sz w:val="28"/>
        </w:rPr>
        <w:t>erakende</w:t>
      </w:r>
      <w:r w:rsidR="00D036F0" w:rsidRPr="00113A5B">
        <w:rPr>
          <w:rFonts w:asciiTheme="minorHAnsi" w:hAnsiTheme="minorHAnsi" w:cs="Arial"/>
          <w:color w:val="0070C0"/>
          <w:sz w:val="28"/>
        </w:rPr>
        <w:t xml:space="preserve"> güve</w:t>
      </w:r>
      <w:r w:rsidR="00916726" w:rsidRPr="00113A5B">
        <w:rPr>
          <w:rFonts w:asciiTheme="minorHAnsi" w:hAnsiTheme="minorHAnsi" w:cs="Arial"/>
          <w:color w:val="0070C0"/>
          <w:sz w:val="28"/>
        </w:rPr>
        <w:t>ni</w:t>
      </w:r>
      <w:r w:rsidR="00C9714B" w:rsidRPr="00113A5B">
        <w:rPr>
          <w:rFonts w:asciiTheme="minorHAnsi" w:hAnsiTheme="minorHAnsi" w:cs="Arial"/>
          <w:color w:val="0070C0"/>
          <w:sz w:val="28"/>
        </w:rPr>
        <w:t xml:space="preserve"> </w:t>
      </w:r>
      <w:r w:rsidR="0025186F" w:rsidRPr="00113A5B">
        <w:rPr>
          <w:rFonts w:asciiTheme="minorHAnsi" w:hAnsiTheme="minorHAnsi" w:cs="Arial"/>
          <w:color w:val="0070C0"/>
          <w:sz w:val="28"/>
        </w:rPr>
        <w:t>geçen</w:t>
      </w:r>
      <w:r w:rsidR="0025186F">
        <w:rPr>
          <w:rFonts w:asciiTheme="minorHAnsi" w:hAnsiTheme="minorHAnsi" w:cs="Arial"/>
          <w:color w:val="0070C0"/>
          <w:sz w:val="28"/>
        </w:rPr>
        <w:t xml:space="preserve"> yıla kıyasla </w:t>
      </w:r>
      <w:r w:rsidR="00C9714B" w:rsidRPr="00C9714B">
        <w:rPr>
          <w:rFonts w:asciiTheme="minorHAnsi" w:hAnsiTheme="minorHAnsi" w:cs="Arial"/>
          <w:color w:val="0070C0"/>
          <w:sz w:val="28"/>
        </w:rPr>
        <w:t>a</w:t>
      </w:r>
      <w:r w:rsidR="0025186F">
        <w:rPr>
          <w:rFonts w:asciiTheme="minorHAnsi" w:hAnsiTheme="minorHAnsi" w:cs="Arial"/>
          <w:color w:val="0070C0"/>
          <w:sz w:val="28"/>
        </w:rPr>
        <w:t>zaldı</w:t>
      </w:r>
    </w:p>
    <w:p w14:paraId="590FC3BB" w14:textId="52313AC6" w:rsidR="00861C16" w:rsidRPr="0089439F" w:rsidRDefault="00540B6E" w:rsidP="00D54979">
      <w:pPr>
        <w:pStyle w:val="Balk2"/>
        <w:spacing w:before="0" w:line="240" w:lineRule="auto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CA7E8C" w:rsidRPr="001F41B6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C13DEB">
        <w:rPr>
          <w:rFonts w:asciiTheme="minorHAnsi" w:hAnsiTheme="minorHAnsi" w:cs="Arial"/>
          <w:b w:val="0"/>
          <w:color w:val="0070C0"/>
          <w:sz w:val="24"/>
        </w:rPr>
        <w:t xml:space="preserve"> -</w:t>
      </w:r>
      <w:r>
        <w:rPr>
          <w:rFonts w:asciiTheme="minorHAnsi" w:hAnsiTheme="minorHAnsi" w:cs="Arial"/>
          <w:b w:val="0"/>
          <w:color w:val="0070C0"/>
          <w:sz w:val="24"/>
        </w:rPr>
        <w:t>18,0</w:t>
      </w:r>
      <w:r w:rsidR="0026669D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67942" w:rsidRPr="001F41B6">
        <w:rPr>
          <w:rFonts w:asciiTheme="minorHAnsi" w:hAnsiTheme="minorHAnsi" w:cs="Arial"/>
          <w:b w:val="0"/>
          <w:color w:val="0070C0"/>
          <w:sz w:val="24"/>
        </w:rPr>
        <w:t xml:space="preserve">puan değerini alan </w:t>
      </w:r>
      <w:r w:rsidR="00ED3677">
        <w:rPr>
          <w:rFonts w:asciiTheme="minorHAnsi" w:hAnsiTheme="minorHAnsi" w:cs="Arial"/>
          <w:b w:val="0"/>
          <w:color w:val="0070C0"/>
          <w:sz w:val="24"/>
        </w:rPr>
        <w:t xml:space="preserve">TEPE, </w:t>
      </w:r>
      <w:r w:rsidR="006F5FED" w:rsidRPr="001F41B6">
        <w:rPr>
          <w:rFonts w:asciiTheme="minorHAnsi" w:hAnsiTheme="minorHAnsi" w:cs="Arial"/>
          <w:b w:val="0"/>
          <w:color w:val="0070C0"/>
          <w:sz w:val="24"/>
        </w:rPr>
        <w:t>geçen yılın aynı dönemine göre</w:t>
      </w:r>
      <w:r w:rsidR="00DD2F8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6,8</w:t>
      </w:r>
      <w:r w:rsidR="0025186F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>
        <w:rPr>
          <w:rFonts w:asciiTheme="minorHAnsi" w:hAnsiTheme="minorHAnsi" w:cs="Arial"/>
          <w:b w:val="0"/>
          <w:color w:val="0070C0"/>
          <w:sz w:val="24"/>
        </w:rPr>
        <w:t xml:space="preserve"> azalırken</w:t>
      </w:r>
      <w:r w:rsidR="0025186F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ED3677">
        <w:rPr>
          <w:rFonts w:asciiTheme="minorHAnsi" w:hAnsiTheme="minorHAnsi" w:cs="Arial"/>
          <w:b w:val="0"/>
          <w:color w:val="0070C0"/>
          <w:sz w:val="24"/>
        </w:rPr>
        <w:t>geçen aya göre</w:t>
      </w:r>
      <w:r w:rsidR="0025186F">
        <w:rPr>
          <w:rFonts w:asciiTheme="minorHAnsi" w:hAnsiTheme="minorHAnsi" w:cs="Arial"/>
          <w:b w:val="0"/>
          <w:color w:val="0070C0"/>
          <w:sz w:val="24"/>
        </w:rPr>
        <w:t xml:space="preserve"> ise</w:t>
      </w:r>
      <w:r w:rsidR="00ED367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475B">
        <w:rPr>
          <w:rFonts w:asciiTheme="minorHAnsi" w:hAnsiTheme="minorHAnsi" w:cs="Arial"/>
          <w:b w:val="0"/>
          <w:color w:val="0070C0"/>
          <w:sz w:val="24"/>
        </w:rPr>
        <w:t>0,5</w:t>
      </w:r>
      <w:r w:rsidR="00ED3677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>
        <w:rPr>
          <w:rFonts w:asciiTheme="minorHAnsi" w:hAnsiTheme="minorHAnsi" w:cs="Arial"/>
          <w:b w:val="0"/>
          <w:color w:val="0070C0"/>
          <w:sz w:val="24"/>
        </w:rPr>
        <w:t>rttı</w:t>
      </w:r>
      <w:r w:rsidR="007F7350" w:rsidRPr="001F41B6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16130B" w:rsidRPr="00F53784">
        <w:rPr>
          <w:rFonts w:asciiTheme="minorHAnsi" w:hAnsiTheme="minorHAnsi" w:cs="Arial"/>
          <w:b w:val="0"/>
          <w:color w:val="0070C0"/>
          <w:sz w:val="24"/>
        </w:rPr>
        <w:t>TEPE değerinin</w:t>
      </w:r>
      <w:r w:rsidR="00A96237" w:rsidRPr="00F53784">
        <w:rPr>
          <w:rFonts w:asciiTheme="minorHAnsi" w:hAnsiTheme="minorHAnsi" w:cs="Arial"/>
          <w:b w:val="0"/>
          <w:color w:val="0070C0"/>
          <w:sz w:val="24"/>
        </w:rPr>
        <w:t xml:space="preserve"> geçen yıla</w:t>
      </w:r>
      <w:r w:rsidR="0025186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96237" w:rsidRPr="00F53784">
        <w:rPr>
          <w:rFonts w:asciiTheme="minorHAnsi" w:hAnsiTheme="minorHAnsi" w:cs="Arial"/>
          <w:b w:val="0"/>
          <w:color w:val="0070C0"/>
          <w:sz w:val="24"/>
        </w:rPr>
        <w:t>göre</w:t>
      </w:r>
      <w:r w:rsidR="007B0617" w:rsidRPr="00F53784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5690F" w:rsidRPr="00F53784">
        <w:rPr>
          <w:rFonts w:asciiTheme="minorHAnsi" w:hAnsiTheme="minorHAnsi" w:cs="Arial"/>
          <w:b w:val="0"/>
          <w:color w:val="0070C0"/>
          <w:sz w:val="24"/>
        </w:rPr>
        <w:t>azalmasında</w:t>
      </w:r>
      <w:r w:rsidR="00A96237" w:rsidRPr="00F53784">
        <w:rPr>
          <w:rFonts w:asciiTheme="minorHAnsi" w:hAnsiTheme="minorHAnsi" w:cs="Arial"/>
          <w:b w:val="0"/>
          <w:color w:val="0070C0"/>
          <w:sz w:val="24"/>
        </w:rPr>
        <w:t>,</w:t>
      </w:r>
      <w:r w:rsidR="00E81EB5" w:rsidRPr="00F53784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5186F" w:rsidRPr="0025186F">
        <w:rPr>
          <w:rFonts w:asciiTheme="minorHAnsi" w:hAnsiTheme="minorHAnsi" w:cs="Arial"/>
          <w:b w:val="0"/>
          <w:color w:val="0070C0"/>
          <w:sz w:val="24"/>
        </w:rPr>
        <w:t xml:space="preserve">geçtiğimiz 3 ayda işlerin gelişimi ve önümüzdeki 3 ayda satış beklentisi göstergelerindeki </w:t>
      </w:r>
      <w:r w:rsidR="0075690F" w:rsidRPr="005242F7">
        <w:rPr>
          <w:rFonts w:asciiTheme="minorHAnsi" w:hAnsiTheme="minorHAnsi" w:cs="Arial"/>
          <w:b w:val="0"/>
          <w:color w:val="0070C0"/>
          <w:sz w:val="24"/>
        </w:rPr>
        <w:t>düşüş</w:t>
      </w:r>
      <w:r w:rsidR="00A1242A" w:rsidRPr="005242F7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15C12" w:rsidRPr="005242F7">
        <w:rPr>
          <w:rFonts w:asciiTheme="minorHAnsi" w:hAnsiTheme="minorHAnsi" w:cs="Arial"/>
          <w:b w:val="0"/>
          <w:color w:val="0070C0"/>
          <w:sz w:val="24"/>
        </w:rPr>
        <w:t xml:space="preserve">etkili </w:t>
      </w:r>
      <w:r w:rsidR="00FD5DC3">
        <w:rPr>
          <w:rFonts w:asciiTheme="minorHAnsi" w:hAnsiTheme="minorHAnsi" w:cs="Arial"/>
          <w:b w:val="0"/>
          <w:color w:val="0070C0"/>
          <w:sz w:val="24"/>
        </w:rPr>
        <w:t xml:space="preserve">olurken; bir önceki aya göre iyileşmenin sınırlı kalmasında ise işlerin geçmiş 3 aydaki durumunun iyileşmesine rağmen </w:t>
      </w:r>
      <w:r w:rsidR="009D28CA">
        <w:rPr>
          <w:rFonts w:asciiTheme="minorHAnsi" w:hAnsiTheme="minorHAnsi" w:cs="Arial"/>
          <w:b w:val="0"/>
          <w:color w:val="0070C0"/>
          <w:sz w:val="24"/>
        </w:rPr>
        <w:t xml:space="preserve">artan stok seviyeleri </w:t>
      </w:r>
      <w:bookmarkStart w:id="0" w:name="_GoBack"/>
      <w:bookmarkEnd w:id="0"/>
      <w:r w:rsidR="00FD5DC3">
        <w:rPr>
          <w:rFonts w:asciiTheme="minorHAnsi" w:hAnsiTheme="minorHAnsi" w:cs="Arial"/>
          <w:b w:val="0"/>
          <w:color w:val="0070C0"/>
          <w:sz w:val="24"/>
        </w:rPr>
        <w:t>etkili oldu.</w:t>
      </w:r>
    </w:p>
    <w:p w14:paraId="4CD4B593" w14:textId="2F7F7FD2" w:rsidR="003F5305" w:rsidRDefault="00963B01" w:rsidP="00D812A9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1</w:t>
      </w:r>
      <w:r w:rsidRPr="00662EBC">
        <w:rPr>
          <w:rFonts w:asciiTheme="minorHAnsi" w:hAnsiTheme="minorHAnsi"/>
          <w:b/>
        </w:rPr>
        <w:t>.</w:t>
      </w:r>
      <w:r w:rsidRPr="00662EBC">
        <w:rPr>
          <w:rFonts w:asciiTheme="minorHAnsi" w:hAnsiTheme="minorHAnsi"/>
        </w:rPr>
        <w:t xml:space="preserve"> TEPE (</w:t>
      </w:r>
      <w:r w:rsidR="00540B6E">
        <w:rPr>
          <w:rFonts w:asciiTheme="minorHAnsi" w:hAnsiTheme="minorHAnsi"/>
        </w:rPr>
        <w:t>Mayıs</w:t>
      </w:r>
      <w:r w:rsidR="00910BC3">
        <w:rPr>
          <w:rFonts w:asciiTheme="minorHAnsi" w:hAnsiTheme="minorHAnsi"/>
        </w:rPr>
        <w:t xml:space="preserve"> 2016</w:t>
      </w:r>
      <w:r w:rsidRPr="00662EBC">
        <w:rPr>
          <w:rFonts w:asciiTheme="minorHAnsi" w:hAnsiTheme="minorHAnsi"/>
        </w:rPr>
        <w:t xml:space="preserve"> –</w:t>
      </w:r>
      <w:r w:rsidR="00DB57EF">
        <w:rPr>
          <w:rFonts w:asciiTheme="minorHAnsi" w:hAnsiTheme="minorHAnsi"/>
        </w:rPr>
        <w:t xml:space="preserve"> </w:t>
      </w:r>
      <w:r w:rsidR="00540B6E">
        <w:rPr>
          <w:rFonts w:asciiTheme="minorHAnsi" w:hAnsiTheme="minorHAnsi"/>
        </w:rPr>
        <w:t>Mayıs</w:t>
      </w:r>
      <w:r w:rsidR="00391CDB">
        <w:rPr>
          <w:rFonts w:asciiTheme="minorHAnsi" w:hAnsiTheme="minorHAnsi"/>
        </w:rPr>
        <w:t xml:space="preserve"> </w:t>
      </w:r>
      <w:r w:rsidR="00910BC3">
        <w:rPr>
          <w:rFonts w:asciiTheme="minorHAnsi" w:hAnsiTheme="minorHAnsi"/>
        </w:rPr>
        <w:t>2017</w:t>
      </w:r>
      <w:r w:rsidRPr="00662EBC">
        <w:rPr>
          <w:rFonts w:asciiTheme="minorHAnsi" w:hAnsiTheme="minorHAnsi"/>
        </w:rPr>
        <w:t>)</w:t>
      </w:r>
      <w:r w:rsidR="004B440A">
        <w:rPr>
          <w:rStyle w:val="DipnotBavurusu"/>
          <w:rFonts w:asciiTheme="minorHAnsi" w:hAnsiTheme="minorHAnsi"/>
        </w:rPr>
        <w:footnoteReference w:id="1"/>
      </w:r>
    </w:p>
    <w:p w14:paraId="17469DAC" w14:textId="702A254E" w:rsidR="00CE395C" w:rsidRDefault="00540B6E" w:rsidP="003F5305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1BE60644" wp14:editId="74B97FFC">
            <wp:extent cx="5762625" cy="243840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B9E16" w14:textId="77777777" w:rsidR="00A6763E" w:rsidRPr="003127E7" w:rsidRDefault="00A6763E" w:rsidP="00FC5465">
      <w:pPr>
        <w:tabs>
          <w:tab w:val="left" w:pos="8258"/>
        </w:tabs>
        <w:spacing w:before="240" w:after="0" w:line="240" w:lineRule="auto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Tablo-1.</w:t>
      </w:r>
      <w:r w:rsidR="004B440A">
        <w:rPr>
          <w:rFonts w:asciiTheme="minorHAnsi" w:hAnsiTheme="minorHAnsi"/>
        </w:rPr>
        <w:t xml:space="preserve"> TEPE, Aylık Seri</w:t>
      </w:r>
    </w:p>
    <w:tbl>
      <w:tblPr>
        <w:tblStyle w:val="OrtaKlavuz3-Vurgu1"/>
        <w:tblW w:w="10475" w:type="dxa"/>
        <w:jc w:val="center"/>
        <w:tblLook w:val="04A0" w:firstRow="1" w:lastRow="0" w:firstColumn="1" w:lastColumn="0" w:noHBand="0" w:noVBand="1"/>
      </w:tblPr>
      <w:tblGrid>
        <w:gridCol w:w="680"/>
        <w:gridCol w:w="705"/>
        <w:gridCol w:w="806"/>
        <w:gridCol w:w="691"/>
        <w:gridCol w:w="777"/>
        <w:gridCol w:w="789"/>
        <w:gridCol w:w="950"/>
        <w:gridCol w:w="1038"/>
        <w:gridCol w:w="1027"/>
        <w:gridCol w:w="713"/>
        <w:gridCol w:w="713"/>
        <w:gridCol w:w="832"/>
        <w:gridCol w:w="754"/>
      </w:tblGrid>
      <w:tr w:rsidR="00A4291D" w:rsidRPr="003127E7" w14:paraId="0BD92F10" w14:textId="77777777" w:rsidTr="00F2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3D8C7A39" w14:textId="77777777" w:rsidR="009F303B" w:rsidRPr="003127E7" w:rsidRDefault="009F303B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9BA7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6" w:type="dxa"/>
            <w:noWrap/>
            <w:vAlign w:val="center"/>
            <w:hideMark/>
          </w:tcPr>
          <w:p w14:paraId="2EB263C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691" w:type="dxa"/>
            <w:noWrap/>
            <w:vAlign w:val="center"/>
            <w:hideMark/>
          </w:tcPr>
          <w:p w14:paraId="0CABBF1D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777" w:type="dxa"/>
            <w:noWrap/>
            <w:vAlign w:val="center"/>
            <w:hideMark/>
          </w:tcPr>
          <w:p w14:paraId="33CF76E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89" w:type="dxa"/>
            <w:noWrap/>
            <w:vAlign w:val="center"/>
            <w:hideMark/>
          </w:tcPr>
          <w:p w14:paraId="39106A2F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50" w:type="dxa"/>
            <w:noWrap/>
            <w:vAlign w:val="center"/>
            <w:hideMark/>
          </w:tcPr>
          <w:p w14:paraId="45C65BC0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38" w:type="dxa"/>
            <w:noWrap/>
            <w:vAlign w:val="center"/>
            <w:hideMark/>
          </w:tcPr>
          <w:p w14:paraId="65BAA3F2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27" w:type="dxa"/>
            <w:noWrap/>
            <w:vAlign w:val="center"/>
            <w:hideMark/>
          </w:tcPr>
          <w:p w14:paraId="44307AE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13" w:type="dxa"/>
            <w:noWrap/>
            <w:vAlign w:val="center"/>
            <w:hideMark/>
          </w:tcPr>
          <w:p w14:paraId="12E75FF6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13" w:type="dxa"/>
            <w:noWrap/>
            <w:vAlign w:val="center"/>
            <w:hideMark/>
          </w:tcPr>
          <w:p w14:paraId="51591FC1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32" w:type="dxa"/>
            <w:noWrap/>
            <w:vAlign w:val="center"/>
            <w:hideMark/>
          </w:tcPr>
          <w:p w14:paraId="63242293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54" w:type="dxa"/>
            <w:noWrap/>
            <w:vAlign w:val="center"/>
            <w:hideMark/>
          </w:tcPr>
          <w:p w14:paraId="7C4F5E14" w14:textId="77777777" w:rsidR="009F303B" w:rsidRPr="00346335" w:rsidRDefault="009F303B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DC2EA3" w:rsidRPr="005430E8" w14:paraId="6E9ED0B9" w14:textId="77777777" w:rsidTr="00F3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25EF2DCA" w14:textId="77777777" w:rsidR="00DC2EA3" w:rsidRPr="003127E7" w:rsidRDefault="00DC2EA3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2015</w:t>
            </w:r>
          </w:p>
        </w:tc>
        <w:tc>
          <w:tcPr>
            <w:tcW w:w="705" w:type="dxa"/>
            <w:noWrap/>
            <w:vAlign w:val="bottom"/>
            <w:hideMark/>
          </w:tcPr>
          <w:p w14:paraId="63BC61F7" w14:textId="1E39D95B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-13,2</w:t>
            </w:r>
          </w:p>
        </w:tc>
        <w:tc>
          <w:tcPr>
            <w:tcW w:w="806" w:type="dxa"/>
            <w:noWrap/>
            <w:vAlign w:val="bottom"/>
            <w:hideMark/>
          </w:tcPr>
          <w:p w14:paraId="4D073ACA" w14:textId="362AC084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-1,2</w:t>
            </w:r>
          </w:p>
        </w:tc>
        <w:tc>
          <w:tcPr>
            <w:tcW w:w="691" w:type="dxa"/>
            <w:noWrap/>
            <w:vAlign w:val="bottom"/>
            <w:hideMark/>
          </w:tcPr>
          <w:p w14:paraId="29672D1A" w14:textId="25E612CA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-3,3</w:t>
            </w:r>
          </w:p>
        </w:tc>
        <w:tc>
          <w:tcPr>
            <w:tcW w:w="777" w:type="dxa"/>
            <w:noWrap/>
            <w:vAlign w:val="bottom"/>
            <w:hideMark/>
          </w:tcPr>
          <w:p w14:paraId="763A107D" w14:textId="69453887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-7,0</w:t>
            </w:r>
          </w:p>
        </w:tc>
        <w:tc>
          <w:tcPr>
            <w:tcW w:w="789" w:type="dxa"/>
            <w:noWrap/>
            <w:vAlign w:val="bottom"/>
            <w:hideMark/>
          </w:tcPr>
          <w:p w14:paraId="2C9787A5" w14:textId="6A1AFD6A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-6,4</w:t>
            </w:r>
          </w:p>
        </w:tc>
        <w:tc>
          <w:tcPr>
            <w:tcW w:w="950" w:type="dxa"/>
            <w:noWrap/>
            <w:vAlign w:val="bottom"/>
            <w:hideMark/>
          </w:tcPr>
          <w:p w14:paraId="4C3B7EB6" w14:textId="3D8AB286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-5,6</w:t>
            </w:r>
          </w:p>
        </w:tc>
        <w:tc>
          <w:tcPr>
            <w:tcW w:w="1038" w:type="dxa"/>
            <w:noWrap/>
            <w:vAlign w:val="bottom"/>
            <w:hideMark/>
          </w:tcPr>
          <w:p w14:paraId="2178E7AF" w14:textId="5B87BCD8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-10,0</w:t>
            </w:r>
          </w:p>
        </w:tc>
        <w:tc>
          <w:tcPr>
            <w:tcW w:w="1027" w:type="dxa"/>
            <w:noWrap/>
            <w:vAlign w:val="bottom"/>
            <w:hideMark/>
          </w:tcPr>
          <w:p w14:paraId="365CD6B4" w14:textId="0BACD46A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13" w:type="dxa"/>
            <w:noWrap/>
            <w:vAlign w:val="bottom"/>
            <w:hideMark/>
          </w:tcPr>
          <w:p w14:paraId="22A57EB9" w14:textId="20BB634D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-10,1</w:t>
            </w:r>
          </w:p>
        </w:tc>
        <w:tc>
          <w:tcPr>
            <w:tcW w:w="713" w:type="dxa"/>
            <w:noWrap/>
            <w:vAlign w:val="bottom"/>
            <w:hideMark/>
          </w:tcPr>
          <w:p w14:paraId="41FB560D" w14:textId="77EDC4D5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-4,4</w:t>
            </w:r>
          </w:p>
        </w:tc>
        <w:tc>
          <w:tcPr>
            <w:tcW w:w="832" w:type="dxa"/>
            <w:noWrap/>
            <w:vAlign w:val="bottom"/>
            <w:hideMark/>
          </w:tcPr>
          <w:p w14:paraId="6220F834" w14:textId="12B12036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4,9</w:t>
            </w:r>
          </w:p>
        </w:tc>
        <w:tc>
          <w:tcPr>
            <w:tcW w:w="754" w:type="dxa"/>
            <w:noWrap/>
            <w:vAlign w:val="bottom"/>
            <w:hideMark/>
          </w:tcPr>
          <w:p w14:paraId="25DEC7AC" w14:textId="5BF06CAE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</w:t>
            </w:r>
          </w:p>
        </w:tc>
      </w:tr>
      <w:tr w:rsidR="00DC2EA3" w:rsidRPr="00AD7D54" w14:paraId="797011B1" w14:textId="77777777" w:rsidTr="00F36A6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DBA2EBC" w14:textId="77777777" w:rsidR="00DC2EA3" w:rsidRDefault="00DC2EA3" w:rsidP="009C0FA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2016</w:t>
            </w:r>
          </w:p>
        </w:tc>
        <w:tc>
          <w:tcPr>
            <w:tcW w:w="705" w:type="dxa"/>
            <w:noWrap/>
            <w:vAlign w:val="bottom"/>
            <w:hideMark/>
          </w:tcPr>
          <w:p w14:paraId="4A9FC0EE" w14:textId="05BD3154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806" w:type="dxa"/>
            <w:noWrap/>
            <w:vAlign w:val="bottom"/>
            <w:hideMark/>
          </w:tcPr>
          <w:p w14:paraId="6DB9541B" w14:textId="71B76287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-3,0</w:t>
            </w:r>
          </w:p>
        </w:tc>
        <w:tc>
          <w:tcPr>
            <w:tcW w:w="691" w:type="dxa"/>
            <w:noWrap/>
            <w:vAlign w:val="bottom"/>
            <w:hideMark/>
          </w:tcPr>
          <w:p w14:paraId="79DC945B" w14:textId="3009DA95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-8,1</w:t>
            </w:r>
          </w:p>
        </w:tc>
        <w:tc>
          <w:tcPr>
            <w:tcW w:w="777" w:type="dxa"/>
            <w:noWrap/>
            <w:vAlign w:val="bottom"/>
            <w:hideMark/>
          </w:tcPr>
          <w:p w14:paraId="1E344D57" w14:textId="5152F5EA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-6,2</w:t>
            </w:r>
          </w:p>
        </w:tc>
        <w:tc>
          <w:tcPr>
            <w:tcW w:w="789" w:type="dxa"/>
            <w:noWrap/>
            <w:vAlign w:val="bottom"/>
            <w:hideMark/>
          </w:tcPr>
          <w:p w14:paraId="5787B3D5" w14:textId="7D93C725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-11,2</w:t>
            </w:r>
          </w:p>
        </w:tc>
        <w:tc>
          <w:tcPr>
            <w:tcW w:w="950" w:type="dxa"/>
            <w:noWrap/>
            <w:vAlign w:val="bottom"/>
            <w:hideMark/>
          </w:tcPr>
          <w:p w14:paraId="0C0AD92F" w14:textId="5DD8054A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-12,4</w:t>
            </w:r>
          </w:p>
        </w:tc>
        <w:tc>
          <w:tcPr>
            <w:tcW w:w="1038" w:type="dxa"/>
            <w:noWrap/>
            <w:vAlign w:val="bottom"/>
            <w:hideMark/>
          </w:tcPr>
          <w:p w14:paraId="173A9BA5" w14:textId="68C1659B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-11,6</w:t>
            </w:r>
          </w:p>
        </w:tc>
        <w:tc>
          <w:tcPr>
            <w:tcW w:w="1027" w:type="dxa"/>
            <w:noWrap/>
            <w:vAlign w:val="bottom"/>
            <w:hideMark/>
          </w:tcPr>
          <w:p w14:paraId="3E71CBED" w14:textId="378E91F3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-12,1</w:t>
            </w:r>
          </w:p>
        </w:tc>
        <w:tc>
          <w:tcPr>
            <w:tcW w:w="713" w:type="dxa"/>
            <w:noWrap/>
            <w:vAlign w:val="bottom"/>
            <w:hideMark/>
          </w:tcPr>
          <w:p w14:paraId="2EA92BC6" w14:textId="570F6B7B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-13,1</w:t>
            </w:r>
          </w:p>
        </w:tc>
        <w:tc>
          <w:tcPr>
            <w:tcW w:w="713" w:type="dxa"/>
            <w:noWrap/>
            <w:vAlign w:val="bottom"/>
            <w:hideMark/>
          </w:tcPr>
          <w:p w14:paraId="2B011B41" w14:textId="2D000913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832" w:type="dxa"/>
            <w:noWrap/>
            <w:vAlign w:val="bottom"/>
            <w:hideMark/>
          </w:tcPr>
          <w:p w14:paraId="647F5BA9" w14:textId="579BBE31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-18,2</w:t>
            </w:r>
          </w:p>
        </w:tc>
        <w:tc>
          <w:tcPr>
            <w:tcW w:w="754" w:type="dxa"/>
            <w:noWrap/>
            <w:vAlign w:val="bottom"/>
            <w:hideMark/>
          </w:tcPr>
          <w:p w14:paraId="04EC5470" w14:textId="7BAAAE11" w:rsidR="00DC2EA3" w:rsidRDefault="00DC2EA3" w:rsidP="004936A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-15,3</w:t>
            </w:r>
          </w:p>
        </w:tc>
      </w:tr>
      <w:tr w:rsidR="00DC2EA3" w:rsidRPr="002A04C6" w14:paraId="66C0CF8C" w14:textId="77777777" w:rsidTr="00E2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vAlign w:val="center"/>
            <w:hideMark/>
          </w:tcPr>
          <w:p w14:paraId="5B63BEAB" w14:textId="77777777" w:rsidR="00DC2EA3" w:rsidRDefault="00DC2EA3" w:rsidP="002A04C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tr-TR"/>
              </w:rPr>
              <w:t>2017</w:t>
            </w:r>
          </w:p>
        </w:tc>
        <w:tc>
          <w:tcPr>
            <w:tcW w:w="705" w:type="dxa"/>
            <w:noWrap/>
            <w:vAlign w:val="bottom"/>
          </w:tcPr>
          <w:p w14:paraId="1C967A45" w14:textId="5D0AE17B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-16,8</w:t>
            </w:r>
          </w:p>
        </w:tc>
        <w:tc>
          <w:tcPr>
            <w:tcW w:w="806" w:type="dxa"/>
            <w:noWrap/>
            <w:vAlign w:val="bottom"/>
          </w:tcPr>
          <w:p w14:paraId="53DD5BDE" w14:textId="114E1AE7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-14,7</w:t>
            </w:r>
          </w:p>
        </w:tc>
        <w:tc>
          <w:tcPr>
            <w:tcW w:w="691" w:type="dxa"/>
            <w:noWrap/>
            <w:vAlign w:val="bottom"/>
          </w:tcPr>
          <w:p w14:paraId="6E1A3354" w14:textId="28E1F3D4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777" w:type="dxa"/>
            <w:noWrap/>
            <w:vAlign w:val="bottom"/>
          </w:tcPr>
          <w:p w14:paraId="7E301BFE" w14:textId="4D69F97A" w:rsidR="00DC2EA3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-18,5</w:t>
            </w:r>
          </w:p>
        </w:tc>
        <w:tc>
          <w:tcPr>
            <w:tcW w:w="789" w:type="dxa"/>
            <w:noWrap/>
            <w:vAlign w:val="bottom"/>
          </w:tcPr>
          <w:p w14:paraId="16AED07E" w14:textId="7594944F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-18,0</w:t>
            </w:r>
          </w:p>
        </w:tc>
        <w:tc>
          <w:tcPr>
            <w:tcW w:w="950" w:type="dxa"/>
            <w:noWrap/>
            <w:vAlign w:val="bottom"/>
          </w:tcPr>
          <w:p w14:paraId="4B8136EF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14:paraId="37253B67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27" w:type="dxa"/>
            <w:noWrap/>
            <w:vAlign w:val="bottom"/>
          </w:tcPr>
          <w:p w14:paraId="2A64AA52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72E6E5B3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13" w:type="dxa"/>
            <w:noWrap/>
            <w:vAlign w:val="bottom"/>
          </w:tcPr>
          <w:p w14:paraId="1F070308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14:paraId="6B0C1F3F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54" w:type="dxa"/>
            <w:noWrap/>
            <w:vAlign w:val="center"/>
          </w:tcPr>
          <w:p w14:paraId="4B17AFD1" w14:textId="77777777" w:rsidR="00DC2EA3" w:rsidRPr="004936AA" w:rsidRDefault="00DC2EA3" w:rsidP="004936A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0DE719E9" w14:textId="77777777" w:rsidR="008866B1" w:rsidRPr="00FC5465" w:rsidRDefault="00446E2C" w:rsidP="00FC5465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szCs w:val="20"/>
          <w:lang w:eastAsia="tr-TR"/>
        </w:rPr>
      </w:pPr>
      <w:r w:rsidRPr="002A04C6">
        <w:rPr>
          <w:rFonts w:asciiTheme="minorHAnsi" w:eastAsia="Times New Roman" w:hAnsiTheme="minorHAnsi" w:cs="Arial"/>
          <w:color w:val="000000"/>
          <w:szCs w:val="20"/>
          <w:lang w:eastAsia="tr-TR"/>
        </w:rPr>
        <w:lastRenderedPageBreak/>
        <w:tab/>
      </w:r>
    </w:p>
    <w:p w14:paraId="75D9B045" w14:textId="16207B3D" w:rsidR="000B66D8" w:rsidRPr="001F41B6" w:rsidRDefault="0016736F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16736F">
        <w:rPr>
          <w:rFonts w:asciiTheme="minorHAnsi" w:hAnsiTheme="minorHAnsi" w:cs="Arial"/>
          <w:color w:val="0070C0"/>
          <w:sz w:val="28"/>
        </w:rPr>
        <w:t>Perakendecilerin s</w:t>
      </w:r>
      <w:r w:rsidR="00A63943" w:rsidRPr="0016736F">
        <w:rPr>
          <w:rFonts w:asciiTheme="minorHAnsi" w:hAnsiTheme="minorHAnsi" w:cs="Arial"/>
          <w:color w:val="0070C0"/>
          <w:sz w:val="28"/>
        </w:rPr>
        <w:t xml:space="preserve">atış </w:t>
      </w:r>
      <w:r w:rsidR="00017F0B" w:rsidRPr="0016736F">
        <w:rPr>
          <w:rFonts w:asciiTheme="minorHAnsi" w:hAnsiTheme="minorHAnsi" w:cs="Arial"/>
          <w:color w:val="0070C0"/>
          <w:sz w:val="28"/>
        </w:rPr>
        <w:t>beklent</w:t>
      </w:r>
      <w:r w:rsidR="00F2759B" w:rsidRPr="0016736F">
        <w:rPr>
          <w:rFonts w:asciiTheme="minorHAnsi" w:hAnsiTheme="minorHAnsi" w:cs="Arial"/>
          <w:color w:val="0070C0"/>
          <w:sz w:val="28"/>
        </w:rPr>
        <w:t>ileri</w:t>
      </w:r>
      <w:r w:rsidR="00504538" w:rsidRPr="0016736F">
        <w:rPr>
          <w:rFonts w:asciiTheme="minorHAnsi" w:hAnsiTheme="minorHAnsi" w:cs="Arial"/>
          <w:color w:val="0070C0"/>
          <w:sz w:val="28"/>
        </w:rPr>
        <w:t xml:space="preserve"> </w:t>
      </w:r>
      <w:r>
        <w:rPr>
          <w:rFonts w:asciiTheme="minorHAnsi" w:hAnsiTheme="minorHAnsi" w:cs="Arial"/>
          <w:color w:val="0070C0"/>
          <w:sz w:val="28"/>
        </w:rPr>
        <w:t>azaldı</w:t>
      </w:r>
    </w:p>
    <w:p w14:paraId="3B4C42D9" w14:textId="648D74C1" w:rsidR="00035EC9" w:rsidRPr="001F41B6" w:rsidRDefault="00C672B7" w:rsidP="00035EC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F41B6">
        <w:rPr>
          <w:rFonts w:asciiTheme="minorHAnsi" w:hAnsiTheme="minorHAnsi" w:cs="Arial"/>
          <w:b w:val="0"/>
          <w:color w:val="0070C0"/>
          <w:sz w:val="24"/>
        </w:rPr>
        <w:t>Ö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nümüzdeki 3 aya ili</w:t>
      </w:r>
      <w:r w:rsidR="006D5D5B" w:rsidRPr="001F41B6">
        <w:rPr>
          <w:rFonts w:asciiTheme="minorHAnsi" w:hAnsiTheme="minorHAnsi" w:cs="Arial"/>
          <w:b w:val="0"/>
          <w:color w:val="0070C0"/>
          <w:sz w:val="24"/>
        </w:rPr>
        <w:t xml:space="preserve">şkin </w:t>
      </w:r>
      <w:r w:rsidR="00C47E70" w:rsidRPr="001F41B6">
        <w:rPr>
          <w:rFonts w:asciiTheme="minorHAnsi" w:hAnsiTheme="minorHAnsi" w:cs="Arial"/>
          <w:b w:val="0"/>
          <w:color w:val="0070C0"/>
          <w:sz w:val="24"/>
        </w:rPr>
        <w:t xml:space="preserve">satış </w:t>
      </w:r>
      <w:r w:rsidR="006D5D5B" w:rsidRPr="001F41B6">
        <w:rPr>
          <w:rFonts w:asciiTheme="minorHAnsi" w:hAnsiTheme="minorHAnsi" w:cs="Arial"/>
          <w:b w:val="0"/>
          <w:color w:val="0070C0"/>
          <w:sz w:val="24"/>
        </w:rPr>
        <w:t>beklentilerin</w:t>
      </w:r>
      <w:r w:rsidR="006A747E" w:rsidRPr="001F41B6">
        <w:rPr>
          <w:rFonts w:asciiTheme="minorHAnsi" w:hAnsiTheme="minorHAnsi" w:cs="Arial"/>
          <w:b w:val="0"/>
          <w:color w:val="0070C0"/>
          <w:sz w:val="24"/>
        </w:rPr>
        <w:t>in</w:t>
      </w:r>
      <w:r w:rsidR="006D5D5B" w:rsidRPr="001F41B6">
        <w:rPr>
          <w:rFonts w:asciiTheme="minorHAnsi" w:hAnsiTheme="minorHAnsi" w:cs="Arial"/>
          <w:b w:val="0"/>
          <w:color w:val="0070C0"/>
          <w:sz w:val="24"/>
        </w:rPr>
        <w:t xml:space="preserve"> denge değeri </w:t>
      </w:r>
      <w:r w:rsidR="00854F32">
        <w:rPr>
          <w:rFonts w:asciiTheme="minorHAnsi" w:hAnsiTheme="minorHAnsi" w:cs="Arial"/>
          <w:b w:val="0"/>
          <w:color w:val="0070C0"/>
          <w:sz w:val="24"/>
        </w:rPr>
        <w:t>Mayıs</w:t>
      </w:r>
      <w:r w:rsidR="00CD5098">
        <w:rPr>
          <w:rFonts w:asciiTheme="minorHAnsi" w:hAnsiTheme="minorHAnsi" w:cs="Arial"/>
          <w:b w:val="0"/>
          <w:color w:val="0070C0"/>
          <w:sz w:val="24"/>
        </w:rPr>
        <w:t xml:space="preserve"> 2017’de</w:t>
      </w:r>
      <w:r w:rsidR="00102BE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F736F">
        <w:rPr>
          <w:rFonts w:asciiTheme="minorHAnsi" w:hAnsiTheme="minorHAnsi" w:cs="Arial"/>
          <w:b w:val="0"/>
          <w:color w:val="0070C0"/>
          <w:sz w:val="24"/>
        </w:rPr>
        <w:t>-</w:t>
      </w:r>
      <w:r w:rsidR="00455B61">
        <w:rPr>
          <w:rFonts w:asciiTheme="minorHAnsi" w:hAnsiTheme="minorHAnsi" w:cs="Arial"/>
          <w:b w:val="0"/>
          <w:color w:val="0070C0"/>
          <w:sz w:val="24"/>
        </w:rPr>
        <w:t>15</w:t>
      </w:r>
      <w:r w:rsidR="004936AA">
        <w:rPr>
          <w:rFonts w:asciiTheme="minorHAnsi" w:hAnsiTheme="minorHAnsi" w:cs="Arial"/>
          <w:b w:val="0"/>
          <w:color w:val="0070C0"/>
          <w:sz w:val="24"/>
        </w:rPr>
        <w:t>,5</w:t>
      </w:r>
      <w:r w:rsidR="00134EF9" w:rsidRPr="001F41B6">
        <w:rPr>
          <w:rFonts w:asciiTheme="minorHAnsi" w:hAnsiTheme="minorHAnsi" w:cs="Arial"/>
          <w:b w:val="0"/>
          <w:color w:val="0070C0"/>
          <w:sz w:val="24"/>
        </w:rPr>
        <w:t xml:space="preserve"> puan </w:t>
      </w:r>
      <w:r w:rsidR="00186F84">
        <w:rPr>
          <w:rFonts w:asciiTheme="minorHAnsi" w:hAnsiTheme="minorHAnsi" w:cs="Arial"/>
          <w:b w:val="0"/>
          <w:color w:val="0070C0"/>
          <w:sz w:val="24"/>
        </w:rPr>
        <w:t>oldu</w:t>
      </w:r>
      <w:r w:rsidR="00134EF9" w:rsidRPr="001F41B6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4936AA" w:rsidRPr="004936AA">
        <w:rPr>
          <w:rFonts w:asciiTheme="minorHAnsi" w:hAnsiTheme="minorHAnsi" w:cs="Arial"/>
          <w:b w:val="0"/>
          <w:color w:val="0070C0"/>
          <w:sz w:val="24"/>
        </w:rPr>
        <w:t xml:space="preserve">Buna göre önümüzdeki 3 aya ilişkin satış beklentileri, bir önceki aya göre </w:t>
      </w:r>
      <w:r w:rsidR="00455B61">
        <w:rPr>
          <w:rFonts w:asciiTheme="minorHAnsi" w:hAnsiTheme="minorHAnsi" w:cs="Arial"/>
          <w:b w:val="0"/>
          <w:color w:val="0070C0"/>
          <w:sz w:val="24"/>
        </w:rPr>
        <w:t>0,</w:t>
      </w:r>
      <w:r w:rsidR="00F33672">
        <w:rPr>
          <w:rFonts w:asciiTheme="minorHAnsi" w:hAnsiTheme="minorHAnsi" w:cs="Arial"/>
          <w:b w:val="0"/>
          <w:color w:val="0070C0"/>
          <w:sz w:val="24"/>
        </w:rPr>
        <w:t>1</w:t>
      </w:r>
      <w:r w:rsidR="004936AA" w:rsidRPr="004936AA">
        <w:rPr>
          <w:rFonts w:asciiTheme="minorHAnsi" w:hAnsiTheme="minorHAnsi" w:cs="Arial"/>
          <w:b w:val="0"/>
          <w:color w:val="0070C0"/>
          <w:sz w:val="24"/>
        </w:rPr>
        <w:t xml:space="preserve"> puan; bir önceki yılın aynı ayına göre </w:t>
      </w:r>
      <w:r w:rsidR="00F33672">
        <w:rPr>
          <w:rFonts w:asciiTheme="minorHAnsi" w:hAnsiTheme="minorHAnsi" w:cs="Arial"/>
          <w:b w:val="0"/>
          <w:color w:val="0070C0"/>
          <w:sz w:val="24"/>
        </w:rPr>
        <w:t>16,4</w:t>
      </w:r>
      <w:r w:rsidR="004936AA" w:rsidRPr="004936AA">
        <w:rPr>
          <w:rFonts w:asciiTheme="minorHAnsi" w:hAnsiTheme="minorHAnsi" w:cs="Arial"/>
          <w:b w:val="0"/>
          <w:color w:val="0070C0"/>
          <w:sz w:val="24"/>
        </w:rPr>
        <w:t xml:space="preserve"> puan azaldı. </w:t>
      </w:r>
    </w:p>
    <w:p w14:paraId="77AD5B5E" w14:textId="77777777" w:rsidR="004936AA" w:rsidRDefault="004936AA" w:rsidP="00E46CB2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4DA10C22" w14:textId="39593A64" w:rsidR="00BE41EA" w:rsidRPr="00213119" w:rsidRDefault="00455B61" w:rsidP="0021311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492B1F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D5098">
        <w:rPr>
          <w:rFonts w:asciiTheme="minorHAnsi" w:hAnsiTheme="minorHAnsi" w:cs="Arial"/>
          <w:b w:val="0"/>
          <w:color w:val="0070C0"/>
          <w:sz w:val="24"/>
        </w:rPr>
        <w:t>2017’de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 xml:space="preserve"> TEPE anketi katılımcılarının yüzde</w:t>
      </w:r>
      <w:r w:rsidR="000B66D8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F736F">
        <w:rPr>
          <w:rFonts w:asciiTheme="minorHAnsi" w:hAnsiTheme="minorHAnsi" w:cs="Arial"/>
          <w:b w:val="0"/>
          <w:color w:val="0070C0"/>
          <w:sz w:val="24"/>
        </w:rPr>
        <w:t>3</w:t>
      </w:r>
      <w:r>
        <w:rPr>
          <w:rFonts w:asciiTheme="minorHAnsi" w:hAnsiTheme="minorHAnsi" w:cs="Arial"/>
          <w:b w:val="0"/>
          <w:color w:val="0070C0"/>
          <w:sz w:val="24"/>
        </w:rPr>
        <w:t>4,6’sı</w:t>
      </w:r>
      <w:r w:rsidR="004936A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önümüzdeki 3 ayda işlerinde iyileşme beklerken</w:t>
      </w:r>
      <w:r w:rsidR="00C800B4" w:rsidRPr="001F41B6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F736F">
        <w:rPr>
          <w:rFonts w:asciiTheme="minorHAnsi" w:hAnsiTheme="minorHAnsi" w:cs="Arial"/>
          <w:b w:val="0"/>
          <w:color w:val="0070C0"/>
          <w:sz w:val="24"/>
        </w:rPr>
        <w:t>yüzde 3</w:t>
      </w:r>
      <w:r>
        <w:rPr>
          <w:rFonts w:asciiTheme="minorHAnsi" w:hAnsiTheme="minorHAnsi" w:cs="Arial"/>
          <w:b w:val="0"/>
          <w:color w:val="0070C0"/>
          <w:sz w:val="24"/>
        </w:rPr>
        <w:t>6,9’u</w:t>
      </w:r>
      <w:r w:rsidR="00566C25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işlerinde kötüle</w:t>
      </w:r>
      <w:r w:rsidR="00946F10" w:rsidRPr="001F41B6">
        <w:rPr>
          <w:rFonts w:asciiTheme="minorHAnsi" w:hAnsiTheme="minorHAnsi" w:cs="Arial"/>
          <w:b w:val="0"/>
          <w:color w:val="0070C0"/>
          <w:sz w:val="24"/>
        </w:rPr>
        <w:t>şme</w:t>
      </w:r>
      <w:r w:rsidR="00566C25" w:rsidRPr="001F41B6">
        <w:rPr>
          <w:rFonts w:asciiTheme="minorHAnsi" w:hAnsiTheme="minorHAnsi" w:cs="Arial"/>
          <w:b w:val="0"/>
          <w:color w:val="0070C0"/>
          <w:sz w:val="24"/>
        </w:rPr>
        <w:t xml:space="preserve"> beklediğini belirtti.</w:t>
      </w:r>
      <w:r w:rsidR="00946F10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İşlerinde bir değişiklik beklemeyenlerin oranı ise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28,5</w:t>
      </w:r>
      <w:r w:rsidR="008B4FDA" w:rsidRPr="001F41B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ol</w:t>
      </w:r>
      <w:r w:rsidR="00B64C0D">
        <w:rPr>
          <w:rFonts w:asciiTheme="minorHAnsi" w:hAnsiTheme="minorHAnsi" w:cs="Arial"/>
          <w:b w:val="0"/>
          <w:color w:val="0070C0"/>
          <w:sz w:val="24"/>
        </w:rPr>
        <w:t>du</w:t>
      </w:r>
      <w:r w:rsidR="00201819" w:rsidRPr="001F41B6">
        <w:rPr>
          <w:rFonts w:asciiTheme="minorHAnsi" w:hAnsiTheme="minorHAnsi" w:cs="Arial"/>
          <w:b w:val="0"/>
          <w:color w:val="0070C0"/>
          <w:sz w:val="24"/>
        </w:rPr>
        <w:t>.</w:t>
      </w:r>
      <w:r w:rsidR="00201819" w:rsidRPr="00563959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2AF2CF9" w14:textId="77777777" w:rsidR="00213119" w:rsidRDefault="00213119" w:rsidP="004A57F1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365B5E00" w14:textId="79129391" w:rsidR="00F36ED3" w:rsidRDefault="00963B01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2</w:t>
      </w:r>
      <w:r w:rsidRPr="00662EBC">
        <w:rPr>
          <w:rFonts w:asciiTheme="minorHAnsi" w:hAnsiTheme="minorHAnsi"/>
          <w:b/>
        </w:rPr>
        <w:t xml:space="preserve">. </w:t>
      </w:r>
      <w:r w:rsidRPr="00662EBC">
        <w:rPr>
          <w:rFonts w:asciiTheme="minorHAnsi" w:hAnsiTheme="minorHAnsi"/>
        </w:rPr>
        <w:t xml:space="preserve">Önümüzdeki 3 aya ilişkin </w:t>
      </w:r>
      <w:r w:rsidR="0005752C">
        <w:rPr>
          <w:rFonts w:asciiTheme="minorHAnsi" w:hAnsiTheme="minorHAnsi"/>
        </w:rPr>
        <w:t xml:space="preserve">satış </w:t>
      </w:r>
      <w:r w:rsidRPr="00662EBC">
        <w:rPr>
          <w:rFonts w:asciiTheme="minorHAnsi" w:hAnsiTheme="minorHAnsi"/>
        </w:rPr>
        <w:t>beklenti</w:t>
      </w:r>
      <w:r w:rsidR="0005752C">
        <w:rPr>
          <w:rFonts w:asciiTheme="minorHAnsi" w:hAnsiTheme="minorHAnsi"/>
        </w:rPr>
        <w:t>si</w:t>
      </w:r>
      <w:r w:rsidR="003E2E4F" w:rsidRPr="00662EBC">
        <w:rPr>
          <w:noProof/>
          <w:lang w:eastAsia="tr-TR"/>
        </w:rPr>
        <w:t xml:space="preserve"> </w:t>
      </w:r>
      <w:r w:rsidR="00C60922">
        <w:rPr>
          <w:rFonts w:asciiTheme="minorHAnsi" w:hAnsiTheme="minorHAnsi"/>
        </w:rPr>
        <w:t>(</w:t>
      </w:r>
      <w:r w:rsidR="00455B61">
        <w:rPr>
          <w:rFonts w:asciiTheme="minorHAnsi" w:hAnsiTheme="minorHAnsi"/>
        </w:rPr>
        <w:t>Mayıs</w:t>
      </w:r>
      <w:r w:rsidR="00D13D94">
        <w:rPr>
          <w:rFonts w:asciiTheme="minorHAnsi" w:hAnsiTheme="minorHAnsi"/>
        </w:rPr>
        <w:t xml:space="preserve"> </w:t>
      </w:r>
      <w:r w:rsidR="00CD5098">
        <w:rPr>
          <w:rFonts w:asciiTheme="minorHAnsi" w:hAnsiTheme="minorHAnsi"/>
        </w:rPr>
        <w:t>2016</w:t>
      </w:r>
      <w:r w:rsidR="004A57F1" w:rsidRPr="00662EBC">
        <w:rPr>
          <w:rFonts w:asciiTheme="minorHAnsi" w:hAnsiTheme="minorHAnsi"/>
        </w:rPr>
        <w:t xml:space="preserve"> – </w:t>
      </w:r>
      <w:r w:rsidR="00455B61">
        <w:rPr>
          <w:rFonts w:asciiTheme="minorHAnsi" w:hAnsiTheme="minorHAnsi"/>
        </w:rPr>
        <w:t>Mayıs</w:t>
      </w:r>
      <w:r w:rsidR="006F736F">
        <w:rPr>
          <w:rFonts w:asciiTheme="minorHAnsi" w:hAnsiTheme="minorHAnsi"/>
        </w:rPr>
        <w:t xml:space="preserve"> </w:t>
      </w:r>
      <w:r w:rsidR="00CD5098">
        <w:rPr>
          <w:rFonts w:asciiTheme="minorHAnsi" w:hAnsiTheme="minorHAnsi"/>
        </w:rPr>
        <w:t>2017</w:t>
      </w:r>
      <w:r w:rsidR="004A57F1" w:rsidRPr="00662EBC">
        <w:rPr>
          <w:rFonts w:asciiTheme="minorHAnsi" w:hAnsiTheme="minorHAnsi"/>
        </w:rPr>
        <w:t>)</w:t>
      </w:r>
    </w:p>
    <w:p w14:paraId="6A32042F" w14:textId="6FAE3EF7" w:rsidR="00CE395C" w:rsidRDefault="00455B61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0AB274CE" wp14:editId="175E4F06">
            <wp:extent cx="5759450" cy="2381912"/>
            <wp:effectExtent l="0" t="0" r="12700" b="1841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76547" w14:textId="77777777" w:rsidR="00D036F0" w:rsidRDefault="00D036F0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A865E90" w14:textId="77777777" w:rsidR="00FC3E7F" w:rsidRDefault="00FC3E7F" w:rsidP="004A57F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FE679A0" w14:textId="77777777" w:rsidR="003026B7" w:rsidRPr="003127E7" w:rsidRDefault="00C41514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662EBC">
        <w:rPr>
          <w:rFonts w:asciiTheme="minorHAnsi" w:hAnsiTheme="minorHAnsi"/>
          <w:b/>
        </w:rPr>
        <w:t>Tablo-2</w:t>
      </w:r>
      <w:r w:rsidR="003026B7" w:rsidRPr="00662EBC">
        <w:rPr>
          <w:rFonts w:asciiTheme="minorHAnsi" w:hAnsiTheme="minorHAnsi"/>
          <w:b/>
        </w:rPr>
        <w:t>.</w:t>
      </w:r>
      <w:r w:rsidR="004A57F1" w:rsidRPr="00662EBC">
        <w:rPr>
          <w:rFonts w:asciiTheme="minorHAnsi" w:hAnsiTheme="minorHAnsi"/>
        </w:rPr>
        <w:t xml:space="preserve"> </w:t>
      </w:r>
      <w:r w:rsidR="003026B7" w:rsidRPr="00662EBC">
        <w:rPr>
          <w:rFonts w:asciiTheme="minorHAnsi" w:hAnsiTheme="minorHAnsi"/>
        </w:rPr>
        <w:t>Önümüzdeki 3 aya ilişkin</w:t>
      </w:r>
      <w:r w:rsidR="0005752C">
        <w:rPr>
          <w:rFonts w:asciiTheme="minorHAnsi" w:hAnsiTheme="minorHAnsi"/>
        </w:rPr>
        <w:t xml:space="preserve"> satış</w:t>
      </w:r>
      <w:r w:rsidR="003026B7" w:rsidRPr="00662EBC">
        <w:rPr>
          <w:rFonts w:asciiTheme="minorHAnsi" w:hAnsiTheme="minorHAnsi"/>
        </w:rPr>
        <w:t xml:space="preserve"> beklenti</w:t>
      </w:r>
      <w:r w:rsidR="0005752C">
        <w:rPr>
          <w:rFonts w:asciiTheme="minorHAnsi" w:hAnsiTheme="minorHAnsi"/>
        </w:rPr>
        <w:t>si</w:t>
      </w:r>
      <w:r w:rsidR="008C07C8">
        <w:rPr>
          <w:rFonts w:asciiTheme="minorHAnsi" w:hAnsiTheme="minorHAnsi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A1365" w:rsidRPr="003127E7" w14:paraId="14CBEFF7" w14:textId="77777777" w:rsidTr="005B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7D4DB9F" w14:textId="77777777" w:rsidR="003026B7" w:rsidRPr="00346335" w:rsidRDefault="003026B7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BFA3D33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5A0AB09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72522E9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16B93C3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5B487960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06653ED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75281484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1DA8136D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53FDFFA8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5245BFA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58D71C0C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4F5BEE25" w14:textId="77777777" w:rsidR="003026B7" w:rsidRPr="00346335" w:rsidRDefault="003026B7" w:rsidP="009F09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346335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455B61" w:rsidRPr="003127E7" w14:paraId="01CA5686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EC18722" w14:textId="77777777" w:rsidR="00455B61" w:rsidRPr="00346335" w:rsidRDefault="00455B61" w:rsidP="00645C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2015</w:t>
            </w:r>
          </w:p>
        </w:tc>
        <w:tc>
          <w:tcPr>
            <w:tcW w:w="741" w:type="dxa"/>
            <w:noWrap/>
            <w:vAlign w:val="bottom"/>
            <w:hideMark/>
          </w:tcPr>
          <w:p w14:paraId="116A0A3B" w14:textId="11B91DAC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6,7</w:t>
            </w:r>
          </w:p>
        </w:tc>
        <w:tc>
          <w:tcPr>
            <w:tcW w:w="807" w:type="dxa"/>
            <w:noWrap/>
            <w:vAlign w:val="bottom"/>
            <w:hideMark/>
          </w:tcPr>
          <w:p w14:paraId="2C173C0C" w14:textId="65165238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26,6</w:t>
            </w:r>
          </w:p>
        </w:tc>
        <w:tc>
          <w:tcPr>
            <w:tcW w:w="708" w:type="dxa"/>
            <w:noWrap/>
            <w:vAlign w:val="bottom"/>
            <w:hideMark/>
          </w:tcPr>
          <w:p w14:paraId="12675E32" w14:textId="23993C03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5,2</w:t>
            </w:r>
          </w:p>
        </w:tc>
        <w:tc>
          <w:tcPr>
            <w:tcW w:w="808" w:type="dxa"/>
            <w:noWrap/>
            <w:vAlign w:val="bottom"/>
            <w:hideMark/>
          </w:tcPr>
          <w:p w14:paraId="229562BB" w14:textId="3C06CC64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808" w:type="dxa"/>
            <w:noWrap/>
            <w:vAlign w:val="bottom"/>
            <w:hideMark/>
          </w:tcPr>
          <w:p w14:paraId="57F96D1C" w14:textId="6E45600B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</w:t>
            </w:r>
          </w:p>
        </w:tc>
        <w:tc>
          <w:tcPr>
            <w:tcW w:w="974" w:type="dxa"/>
            <w:noWrap/>
            <w:vAlign w:val="bottom"/>
            <w:hideMark/>
          </w:tcPr>
          <w:p w14:paraId="16DBA876" w14:textId="05E500FD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</w:t>
            </w:r>
          </w:p>
        </w:tc>
        <w:tc>
          <w:tcPr>
            <w:tcW w:w="1063" w:type="dxa"/>
            <w:noWrap/>
            <w:vAlign w:val="bottom"/>
            <w:hideMark/>
          </w:tcPr>
          <w:p w14:paraId="03DA6FD1" w14:textId="31B66F58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1052" w:type="dxa"/>
            <w:noWrap/>
            <w:vAlign w:val="bottom"/>
            <w:hideMark/>
          </w:tcPr>
          <w:p w14:paraId="6E005A33" w14:textId="59A8C88F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-24,6</w:t>
            </w:r>
          </w:p>
        </w:tc>
        <w:tc>
          <w:tcPr>
            <w:tcW w:w="730" w:type="dxa"/>
            <w:noWrap/>
            <w:vAlign w:val="bottom"/>
            <w:hideMark/>
          </w:tcPr>
          <w:p w14:paraId="1E9135FD" w14:textId="4A71FAB9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-0,4</w:t>
            </w:r>
          </w:p>
        </w:tc>
        <w:tc>
          <w:tcPr>
            <w:tcW w:w="730" w:type="dxa"/>
            <w:noWrap/>
            <w:vAlign w:val="bottom"/>
            <w:hideMark/>
          </w:tcPr>
          <w:p w14:paraId="43D0EE45" w14:textId="1BCA64C3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</w:t>
            </w:r>
          </w:p>
        </w:tc>
        <w:tc>
          <w:tcPr>
            <w:tcW w:w="852" w:type="dxa"/>
            <w:noWrap/>
            <w:vAlign w:val="bottom"/>
            <w:hideMark/>
          </w:tcPr>
          <w:p w14:paraId="4151B238" w14:textId="0C4BF2C6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38,7</w:t>
            </w:r>
          </w:p>
        </w:tc>
        <w:tc>
          <w:tcPr>
            <w:tcW w:w="808" w:type="dxa"/>
            <w:noWrap/>
            <w:vAlign w:val="bottom"/>
            <w:hideMark/>
          </w:tcPr>
          <w:p w14:paraId="762EF06C" w14:textId="0B3668D6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26,7</w:t>
            </w:r>
          </w:p>
        </w:tc>
      </w:tr>
      <w:tr w:rsidR="00455B61" w:rsidRPr="003127E7" w14:paraId="6287B474" w14:textId="77777777" w:rsidTr="000B69E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A660CC0" w14:textId="77777777" w:rsidR="00455B61" w:rsidRDefault="00455B61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41" w:type="dxa"/>
            <w:noWrap/>
            <w:vAlign w:val="bottom"/>
            <w:hideMark/>
          </w:tcPr>
          <w:p w14:paraId="4803F2D3" w14:textId="38A9B8D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17,7</w:t>
            </w:r>
          </w:p>
        </w:tc>
        <w:tc>
          <w:tcPr>
            <w:tcW w:w="807" w:type="dxa"/>
            <w:noWrap/>
            <w:vAlign w:val="bottom"/>
            <w:hideMark/>
          </w:tcPr>
          <w:p w14:paraId="5A8767A9" w14:textId="395B86B0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13,1</w:t>
            </w:r>
          </w:p>
        </w:tc>
        <w:tc>
          <w:tcPr>
            <w:tcW w:w="708" w:type="dxa"/>
            <w:noWrap/>
            <w:vAlign w:val="bottom"/>
            <w:hideMark/>
          </w:tcPr>
          <w:p w14:paraId="17A0A486" w14:textId="5D7A082F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808" w:type="dxa"/>
            <w:noWrap/>
            <w:vAlign w:val="bottom"/>
            <w:hideMark/>
          </w:tcPr>
          <w:p w14:paraId="08D47243" w14:textId="599B22F2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5,7</w:t>
            </w:r>
          </w:p>
        </w:tc>
        <w:tc>
          <w:tcPr>
            <w:tcW w:w="808" w:type="dxa"/>
            <w:noWrap/>
            <w:vAlign w:val="bottom"/>
            <w:hideMark/>
          </w:tcPr>
          <w:p w14:paraId="5930360D" w14:textId="0A47B57C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974" w:type="dxa"/>
            <w:noWrap/>
            <w:vAlign w:val="bottom"/>
            <w:hideMark/>
          </w:tcPr>
          <w:p w14:paraId="29967607" w14:textId="262AE1BA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063" w:type="dxa"/>
            <w:noWrap/>
            <w:vAlign w:val="bottom"/>
            <w:hideMark/>
          </w:tcPr>
          <w:p w14:paraId="0C3AB433" w14:textId="00B2C803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-2,4</w:t>
            </w:r>
          </w:p>
        </w:tc>
        <w:tc>
          <w:tcPr>
            <w:tcW w:w="1052" w:type="dxa"/>
            <w:noWrap/>
            <w:vAlign w:val="bottom"/>
            <w:hideMark/>
          </w:tcPr>
          <w:p w14:paraId="431FD135" w14:textId="26EA4773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-2,7</w:t>
            </w:r>
          </w:p>
        </w:tc>
        <w:tc>
          <w:tcPr>
            <w:tcW w:w="730" w:type="dxa"/>
            <w:noWrap/>
            <w:vAlign w:val="bottom"/>
            <w:hideMark/>
          </w:tcPr>
          <w:p w14:paraId="36A9BF70" w14:textId="693982D2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-3,1</w:t>
            </w:r>
          </w:p>
        </w:tc>
        <w:tc>
          <w:tcPr>
            <w:tcW w:w="730" w:type="dxa"/>
            <w:noWrap/>
            <w:vAlign w:val="bottom"/>
            <w:hideMark/>
          </w:tcPr>
          <w:p w14:paraId="2921F5B8" w14:textId="2010F8CF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852" w:type="dxa"/>
            <w:noWrap/>
            <w:vAlign w:val="bottom"/>
            <w:hideMark/>
          </w:tcPr>
          <w:p w14:paraId="16DC5901" w14:textId="35755AFE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-7,2</w:t>
            </w:r>
          </w:p>
        </w:tc>
        <w:tc>
          <w:tcPr>
            <w:tcW w:w="808" w:type="dxa"/>
            <w:noWrap/>
            <w:vAlign w:val="bottom"/>
            <w:hideMark/>
          </w:tcPr>
          <w:p w14:paraId="1E4F47F1" w14:textId="4C8BC599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-8,9</w:t>
            </w:r>
          </w:p>
        </w:tc>
      </w:tr>
      <w:tr w:rsidR="00455B61" w:rsidRPr="003127E7" w14:paraId="4BFE4A26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B22A00F" w14:textId="77777777" w:rsidR="00455B61" w:rsidRDefault="00455B61" w:rsidP="009F09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4A6311BA" w14:textId="430BC3BA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-10,6</w:t>
            </w:r>
          </w:p>
        </w:tc>
        <w:tc>
          <w:tcPr>
            <w:tcW w:w="807" w:type="dxa"/>
            <w:noWrap/>
            <w:vAlign w:val="bottom"/>
          </w:tcPr>
          <w:p w14:paraId="55ABE1D6" w14:textId="56B5E51D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708" w:type="dxa"/>
            <w:noWrap/>
            <w:vAlign w:val="bottom"/>
          </w:tcPr>
          <w:p w14:paraId="3E03C3B5" w14:textId="3A5CEC61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-11,9</w:t>
            </w:r>
          </w:p>
        </w:tc>
        <w:tc>
          <w:tcPr>
            <w:tcW w:w="808" w:type="dxa"/>
            <w:noWrap/>
            <w:vAlign w:val="bottom"/>
          </w:tcPr>
          <w:p w14:paraId="3177BEFC" w14:textId="0678AD58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808" w:type="dxa"/>
            <w:noWrap/>
            <w:vAlign w:val="bottom"/>
          </w:tcPr>
          <w:p w14:paraId="59E6A748" w14:textId="5E9ED000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-15,5</w:t>
            </w:r>
          </w:p>
        </w:tc>
        <w:tc>
          <w:tcPr>
            <w:tcW w:w="974" w:type="dxa"/>
            <w:noWrap/>
            <w:vAlign w:val="bottom"/>
          </w:tcPr>
          <w:p w14:paraId="00AC57EA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6EB56EEB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416D0F14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FE85241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5EA82EE0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751B281B" w14:textId="77777777" w:rsidR="00455B61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14:paraId="2DDE80C1" w14:textId="77777777" w:rsidR="00455B61" w:rsidRPr="008A22AB" w:rsidRDefault="00455B61" w:rsidP="00E06D28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56F6C11" w14:textId="77777777" w:rsidR="004510BE" w:rsidRDefault="004510BE" w:rsidP="009F095F">
      <w:pPr>
        <w:jc w:val="center"/>
        <w:rPr>
          <w:rFonts w:asciiTheme="minorHAnsi" w:hAnsiTheme="minorHAnsi" w:cs="Arial"/>
        </w:rPr>
      </w:pPr>
    </w:p>
    <w:p w14:paraId="4E91C754" w14:textId="77777777" w:rsidR="00045876" w:rsidRPr="008A22AB" w:rsidRDefault="00045876" w:rsidP="00102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tr-TR"/>
        </w:rPr>
      </w:pPr>
    </w:p>
    <w:p w14:paraId="4998C4CC" w14:textId="77777777" w:rsidR="008866B1" w:rsidRDefault="008866B1" w:rsidP="00201819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04C29370" w14:textId="77777777" w:rsidR="00201819" w:rsidRPr="00E10D55" w:rsidRDefault="00B053BE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2867C9">
        <w:rPr>
          <w:rFonts w:asciiTheme="minorHAnsi" w:hAnsiTheme="minorHAnsi" w:cs="Arial"/>
          <w:color w:val="0070C0"/>
          <w:sz w:val="28"/>
        </w:rPr>
        <w:t>İşlerin geçen yılın aynı dönemine göre durumu kötüleşti</w:t>
      </w:r>
    </w:p>
    <w:p w14:paraId="379EF48C" w14:textId="45D235CE" w:rsidR="007D79D2" w:rsidRPr="00DE03DF" w:rsidRDefault="00A54111" w:rsidP="007D79D2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54111">
        <w:rPr>
          <w:rFonts w:asciiTheme="minorHAnsi" w:hAnsiTheme="minorHAnsi" w:cs="Arial"/>
          <w:b w:val="0"/>
          <w:color w:val="0070C0"/>
          <w:sz w:val="24"/>
        </w:rPr>
        <w:t>İ</w:t>
      </w:r>
      <w:r w:rsidR="00186F84" w:rsidRPr="00A54111">
        <w:rPr>
          <w:rFonts w:asciiTheme="minorHAnsi" w:hAnsiTheme="minorHAnsi" w:cs="Arial"/>
          <w:b w:val="0"/>
          <w:color w:val="0070C0"/>
          <w:sz w:val="24"/>
        </w:rPr>
        <w:t xml:space="preserve">şlerin </w:t>
      </w:r>
      <w:r w:rsidR="00B053BE" w:rsidRPr="00A54111">
        <w:rPr>
          <w:rFonts w:asciiTheme="minorHAnsi" w:hAnsiTheme="minorHAnsi" w:cs="Arial"/>
          <w:b w:val="0"/>
          <w:color w:val="0070C0"/>
          <w:sz w:val="24"/>
        </w:rPr>
        <w:t>geçen yılın</w:t>
      </w:r>
      <w:r w:rsidR="009E4147" w:rsidRPr="00A54111">
        <w:rPr>
          <w:rFonts w:asciiTheme="minorHAnsi" w:hAnsiTheme="minorHAnsi" w:cs="Arial"/>
          <w:b w:val="0"/>
          <w:color w:val="0070C0"/>
          <w:sz w:val="24"/>
        </w:rPr>
        <w:t xml:space="preserve"> aynı dönemine göre durumu</w:t>
      </w:r>
      <w:r w:rsidR="00AF5B7F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F92733">
        <w:rPr>
          <w:rFonts w:asciiTheme="minorHAnsi" w:hAnsiTheme="minorHAnsi" w:cs="Arial"/>
          <w:b w:val="0"/>
          <w:color w:val="0070C0"/>
          <w:sz w:val="24"/>
        </w:rPr>
        <w:t>Mayıs</w:t>
      </w:r>
      <w:r w:rsidR="00AF5B7F">
        <w:rPr>
          <w:rFonts w:asciiTheme="minorHAnsi" w:hAnsiTheme="minorHAnsi" w:cs="Arial"/>
          <w:b w:val="0"/>
          <w:color w:val="0070C0"/>
          <w:sz w:val="24"/>
        </w:rPr>
        <w:t xml:space="preserve"> 2017’de -</w:t>
      </w:r>
      <w:r w:rsidR="00F92733">
        <w:rPr>
          <w:rFonts w:asciiTheme="minorHAnsi" w:hAnsiTheme="minorHAnsi" w:cs="Arial"/>
          <w:b w:val="0"/>
          <w:color w:val="0070C0"/>
          <w:sz w:val="24"/>
        </w:rPr>
        <w:t>39,4</w:t>
      </w:r>
      <w:r w:rsidR="00B053BE" w:rsidRPr="00E10D55">
        <w:rPr>
          <w:rFonts w:asciiTheme="minorHAnsi" w:hAnsiTheme="minorHAnsi" w:cs="Arial"/>
          <w:b w:val="0"/>
          <w:color w:val="0070C0"/>
          <w:sz w:val="24"/>
        </w:rPr>
        <w:t xml:space="preserve"> puan değerini </w:t>
      </w:r>
      <w:r w:rsidR="000B4D53">
        <w:rPr>
          <w:rFonts w:asciiTheme="minorHAnsi" w:hAnsiTheme="minorHAnsi" w:cs="Arial"/>
          <w:b w:val="0"/>
          <w:color w:val="0070C0"/>
          <w:sz w:val="24"/>
        </w:rPr>
        <w:t>al</w:t>
      </w:r>
      <w:r w:rsidR="00186F84">
        <w:rPr>
          <w:rFonts w:asciiTheme="minorHAnsi" w:hAnsiTheme="minorHAnsi" w:cs="Arial"/>
          <w:b w:val="0"/>
          <w:color w:val="0070C0"/>
          <w:sz w:val="24"/>
        </w:rPr>
        <w:t>arak</w:t>
      </w:r>
      <w:r w:rsidR="00AF5B7F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F92733">
        <w:rPr>
          <w:rFonts w:asciiTheme="minorHAnsi" w:hAnsiTheme="minorHAnsi" w:cs="Arial"/>
          <w:b w:val="0"/>
          <w:color w:val="0070C0"/>
          <w:sz w:val="24"/>
        </w:rPr>
        <w:t>Nisan</w:t>
      </w:r>
      <w:r w:rsidR="003638A7">
        <w:rPr>
          <w:rFonts w:asciiTheme="minorHAnsi" w:hAnsiTheme="minorHAnsi" w:cs="Arial"/>
          <w:b w:val="0"/>
          <w:color w:val="0070C0"/>
          <w:sz w:val="24"/>
        </w:rPr>
        <w:t xml:space="preserve"> 2017</w:t>
      </w:r>
      <w:r w:rsidR="009E4147">
        <w:rPr>
          <w:rFonts w:asciiTheme="minorHAnsi" w:hAnsiTheme="minorHAnsi" w:cs="Arial"/>
          <w:b w:val="0"/>
          <w:color w:val="0070C0"/>
          <w:sz w:val="24"/>
        </w:rPr>
        <w:t>’y</w:t>
      </w:r>
      <w:r w:rsidR="003638A7">
        <w:rPr>
          <w:rFonts w:asciiTheme="minorHAnsi" w:hAnsiTheme="minorHAnsi" w:cs="Arial"/>
          <w:b w:val="0"/>
          <w:color w:val="0070C0"/>
          <w:sz w:val="24"/>
        </w:rPr>
        <w:t>e</w:t>
      </w:r>
      <w:r w:rsidR="009E4147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F92733">
        <w:rPr>
          <w:rFonts w:asciiTheme="minorHAnsi" w:hAnsiTheme="minorHAnsi" w:cs="Arial"/>
          <w:b w:val="0"/>
          <w:color w:val="0070C0"/>
          <w:sz w:val="24"/>
        </w:rPr>
        <w:t>0,8</w:t>
      </w:r>
      <w:r w:rsidR="00FC2A3C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F5B7F">
        <w:rPr>
          <w:rFonts w:asciiTheme="minorHAnsi" w:hAnsiTheme="minorHAnsi" w:cs="Arial"/>
          <w:b w:val="0"/>
          <w:color w:val="0070C0"/>
          <w:sz w:val="24"/>
        </w:rPr>
        <w:t xml:space="preserve">puan, </w:t>
      </w:r>
      <w:r w:rsidR="00F92733">
        <w:rPr>
          <w:rFonts w:asciiTheme="minorHAnsi" w:hAnsiTheme="minorHAnsi" w:cs="Arial"/>
          <w:b w:val="0"/>
          <w:color w:val="0070C0"/>
          <w:sz w:val="24"/>
        </w:rPr>
        <w:t>Mayıs</w:t>
      </w:r>
      <w:r w:rsidR="00645CE1">
        <w:rPr>
          <w:rFonts w:asciiTheme="minorHAnsi" w:hAnsiTheme="minorHAnsi" w:cs="Arial"/>
          <w:b w:val="0"/>
          <w:color w:val="0070C0"/>
          <w:sz w:val="24"/>
        </w:rPr>
        <w:t xml:space="preserve"> 2016’ya</w:t>
      </w:r>
      <w:r w:rsidR="009E4147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F92733">
        <w:rPr>
          <w:rFonts w:asciiTheme="minorHAnsi" w:hAnsiTheme="minorHAnsi" w:cs="Arial"/>
          <w:b w:val="0"/>
          <w:color w:val="0070C0"/>
          <w:sz w:val="24"/>
        </w:rPr>
        <w:t>11,8</w:t>
      </w:r>
      <w:r w:rsidR="00B053BE" w:rsidRPr="00E10D55">
        <w:rPr>
          <w:rFonts w:asciiTheme="minorHAnsi" w:hAnsiTheme="minorHAnsi" w:cs="Arial"/>
          <w:b w:val="0"/>
          <w:color w:val="0070C0"/>
          <w:sz w:val="24"/>
        </w:rPr>
        <w:t xml:space="preserve"> puan azaldı.</w:t>
      </w:r>
      <w:r w:rsidR="00186F84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681875ED" w14:textId="77777777" w:rsidR="007D79D2" w:rsidRPr="00DE03DF" w:rsidRDefault="007D79D2" w:rsidP="00201819">
      <w:pPr>
        <w:pStyle w:val="Balk2"/>
        <w:spacing w:before="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0D70E17D" w14:textId="49984E4F" w:rsidR="00201819" w:rsidRPr="00591045" w:rsidRDefault="00F92733" w:rsidP="0020181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E46CB2" w:rsidRPr="00DE03D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45CE1">
        <w:rPr>
          <w:rFonts w:asciiTheme="minorHAnsi" w:hAnsiTheme="minorHAnsi" w:cs="Arial"/>
          <w:b w:val="0"/>
          <w:color w:val="0070C0"/>
          <w:sz w:val="24"/>
        </w:rPr>
        <w:t>2017’de</w:t>
      </w:r>
      <w:r w:rsidR="00201819" w:rsidRPr="00DE03DF">
        <w:rPr>
          <w:rFonts w:asciiTheme="minorHAnsi" w:hAnsiTheme="minorHAnsi" w:cs="Arial"/>
          <w:b w:val="0"/>
          <w:color w:val="0070C0"/>
          <w:sz w:val="24"/>
        </w:rPr>
        <w:t xml:space="preserve"> TEPE </w:t>
      </w:r>
      <w:r w:rsidR="00CA7E8C" w:rsidRPr="00DE03DF">
        <w:rPr>
          <w:rFonts w:asciiTheme="minorHAnsi" w:hAnsiTheme="minorHAnsi" w:cs="Arial"/>
          <w:b w:val="0"/>
          <w:color w:val="0070C0"/>
          <w:sz w:val="24"/>
        </w:rPr>
        <w:t xml:space="preserve">anketi katılımcılarının yüzde </w:t>
      </w:r>
      <w:r w:rsidR="00AF5B7F">
        <w:rPr>
          <w:rFonts w:asciiTheme="minorHAnsi" w:hAnsiTheme="minorHAnsi" w:cs="Arial"/>
          <w:b w:val="0"/>
          <w:color w:val="0070C0"/>
          <w:sz w:val="24"/>
        </w:rPr>
        <w:t>1</w:t>
      </w:r>
      <w:r>
        <w:rPr>
          <w:rFonts w:asciiTheme="minorHAnsi" w:hAnsiTheme="minorHAnsi" w:cs="Arial"/>
          <w:b w:val="0"/>
          <w:color w:val="0070C0"/>
          <w:sz w:val="24"/>
        </w:rPr>
        <w:t>8,6’sı</w:t>
      </w:r>
      <w:r w:rsidR="00F87E72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DE03DF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göre işlerinde artış olduğunu belirtirken, işlerinde düşüş olduğunu belirtenlerin oranı yüzde </w:t>
      </w:r>
      <w:r w:rsidR="00AF5B7F">
        <w:rPr>
          <w:rFonts w:asciiTheme="minorHAnsi" w:hAnsiTheme="minorHAnsi" w:cs="Arial"/>
          <w:b w:val="0"/>
          <w:color w:val="0070C0"/>
          <w:sz w:val="24"/>
        </w:rPr>
        <w:t>5</w:t>
      </w:r>
      <w:r>
        <w:rPr>
          <w:rFonts w:asciiTheme="minorHAnsi" w:hAnsiTheme="minorHAnsi" w:cs="Arial"/>
          <w:b w:val="0"/>
          <w:color w:val="0070C0"/>
          <w:sz w:val="24"/>
        </w:rPr>
        <w:t xml:space="preserve">8,0 </w:t>
      </w:r>
      <w:r w:rsidR="00201819" w:rsidRPr="00DE03DF">
        <w:rPr>
          <w:rFonts w:asciiTheme="minorHAnsi" w:hAnsiTheme="minorHAnsi" w:cs="Arial"/>
          <w:b w:val="0"/>
          <w:color w:val="0070C0"/>
          <w:sz w:val="24"/>
        </w:rPr>
        <w:t>olarak belirlendi. Geçen yıla göre işlerinde bir değişiklik olmadığını belirtenlerin oranı ise</w:t>
      </w:r>
      <w:r w:rsidR="00BC5219">
        <w:rPr>
          <w:rFonts w:asciiTheme="minorHAnsi" w:hAnsiTheme="minorHAnsi" w:cs="Arial"/>
          <w:b w:val="0"/>
          <w:color w:val="0070C0"/>
          <w:sz w:val="24"/>
        </w:rPr>
        <w:t>,</w:t>
      </w:r>
      <w:r w:rsidR="00201819" w:rsidRPr="00DE03DF">
        <w:rPr>
          <w:rFonts w:asciiTheme="minorHAnsi" w:hAnsiTheme="minorHAnsi" w:cs="Arial"/>
          <w:b w:val="0"/>
          <w:color w:val="0070C0"/>
          <w:sz w:val="24"/>
        </w:rPr>
        <w:t xml:space="preserve"> yüzde </w:t>
      </w:r>
      <w:r>
        <w:rPr>
          <w:rFonts w:asciiTheme="minorHAnsi" w:hAnsiTheme="minorHAnsi" w:cs="Arial"/>
          <w:b w:val="0"/>
          <w:color w:val="0070C0"/>
          <w:sz w:val="24"/>
        </w:rPr>
        <w:t>23,5</w:t>
      </w:r>
      <w:r w:rsidR="00DE03D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DE03DF">
        <w:rPr>
          <w:rFonts w:asciiTheme="minorHAnsi" w:hAnsiTheme="minorHAnsi" w:cs="Arial"/>
          <w:b w:val="0"/>
          <w:color w:val="0070C0"/>
          <w:sz w:val="24"/>
        </w:rPr>
        <w:t>oldu.</w:t>
      </w:r>
      <w:r w:rsidR="00566C25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3E872A76" w14:textId="77777777" w:rsidR="008A3410" w:rsidRDefault="008A3410" w:rsidP="001875AA">
      <w:pPr>
        <w:tabs>
          <w:tab w:val="left" w:pos="8258"/>
        </w:tabs>
        <w:spacing w:after="0"/>
        <w:jc w:val="both"/>
        <w:rPr>
          <w:rFonts w:asciiTheme="minorHAnsi" w:hAnsiTheme="minorHAnsi"/>
          <w:b/>
        </w:rPr>
      </w:pPr>
    </w:p>
    <w:p w14:paraId="6274D798" w14:textId="6CB06E3F" w:rsidR="00F36ED3" w:rsidRDefault="00963B01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5B326E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3</w:t>
      </w:r>
      <w:r w:rsidRPr="005B326E">
        <w:rPr>
          <w:rFonts w:asciiTheme="minorHAnsi" w:hAnsiTheme="minorHAnsi"/>
          <w:b/>
        </w:rPr>
        <w:t>.</w:t>
      </w:r>
      <w:r w:rsidR="004A57F1" w:rsidRPr="005B326E">
        <w:rPr>
          <w:rFonts w:asciiTheme="minorHAnsi" w:hAnsiTheme="minorHAnsi"/>
        </w:rPr>
        <w:t xml:space="preserve"> </w:t>
      </w:r>
      <w:r w:rsidRPr="005B326E">
        <w:rPr>
          <w:rFonts w:asciiTheme="minorHAnsi" w:hAnsiTheme="minorHAnsi"/>
        </w:rPr>
        <w:t>İşlerin geçen yı</w:t>
      </w:r>
      <w:r w:rsidR="004B440A">
        <w:rPr>
          <w:rFonts w:asciiTheme="minorHAnsi" w:hAnsiTheme="minorHAnsi"/>
        </w:rPr>
        <w:t>lın ayn</w:t>
      </w:r>
      <w:r w:rsidR="008C07C8">
        <w:rPr>
          <w:rFonts w:asciiTheme="minorHAnsi" w:hAnsiTheme="minorHAnsi"/>
        </w:rPr>
        <w:t>ı dönemine göre durumu</w:t>
      </w:r>
      <w:r w:rsidR="00ED20F8">
        <w:rPr>
          <w:rFonts w:asciiTheme="minorHAnsi" w:hAnsiTheme="minorHAnsi"/>
        </w:rPr>
        <w:t xml:space="preserve"> </w:t>
      </w:r>
      <w:r w:rsidR="004A57F1" w:rsidRPr="005B326E">
        <w:rPr>
          <w:rFonts w:asciiTheme="minorHAnsi" w:hAnsiTheme="minorHAnsi"/>
        </w:rPr>
        <w:t>(</w:t>
      </w:r>
      <w:r w:rsidR="00F92733">
        <w:rPr>
          <w:rFonts w:asciiTheme="minorHAnsi" w:hAnsiTheme="minorHAnsi"/>
        </w:rPr>
        <w:t>Mayıs</w:t>
      </w:r>
      <w:r w:rsidR="00645CE1">
        <w:rPr>
          <w:rFonts w:asciiTheme="minorHAnsi" w:hAnsiTheme="minorHAnsi"/>
        </w:rPr>
        <w:t xml:space="preserve"> 2016</w:t>
      </w:r>
      <w:r w:rsidR="009E4147">
        <w:rPr>
          <w:rFonts w:asciiTheme="minorHAnsi" w:hAnsiTheme="minorHAnsi"/>
        </w:rPr>
        <w:t xml:space="preserve"> – </w:t>
      </w:r>
      <w:r w:rsidR="00F92733">
        <w:rPr>
          <w:rFonts w:asciiTheme="minorHAnsi" w:hAnsiTheme="minorHAnsi"/>
        </w:rPr>
        <w:t>Mayıs</w:t>
      </w:r>
      <w:r w:rsidR="00D137FF">
        <w:rPr>
          <w:rFonts w:asciiTheme="minorHAnsi" w:hAnsiTheme="minorHAnsi"/>
        </w:rPr>
        <w:t xml:space="preserve"> </w:t>
      </w:r>
      <w:r w:rsidR="00645CE1">
        <w:rPr>
          <w:rFonts w:asciiTheme="minorHAnsi" w:hAnsiTheme="minorHAnsi"/>
        </w:rPr>
        <w:t>2017</w:t>
      </w:r>
      <w:r w:rsidR="004A57F1" w:rsidRPr="005B326E">
        <w:rPr>
          <w:rFonts w:asciiTheme="minorHAnsi" w:hAnsiTheme="minorHAnsi"/>
        </w:rPr>
        <w:t>)</w:t>
      </w:r>
    </w:p>
    <w:p w14:paraId="377FBD2F" w14:textId="1AE6B201" w:rsidR="00CE395C" w:rsidRDefault="004B5A15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1F479C7E" wp14:editId="15F3C324">
            <wp:extent cx="5759450" cy="2387422"/>
            <wp:effectExtent l="0" t="0" r="12700" b="1333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97B2F" w14:textId="77777777" w:rsidR="00FE22B6" w:rsidRDefault="00FE22B6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7477C03" w14:textId="77777777" w:rsidR="007D74FE" w:rsidRDefault="007D74FE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C6D52F0" w14:textId="77777777" w:rsidR="004946CD" w:rsidRDefault="004946CD" w:rsidP="001875AA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29137E7B" w14:textId="77777777" w:rsidR="003F680E" w:rsidRPr="003127E7" w:rsidRDefault="003F680E" w:rsidP="00E13AA4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FC4133">
        <w:rPr>
          <w:rFonts w:asciiTheme="minorHAnsi" w:hAnsiTheme="minorHAnsi"/>
          <w:b/>
        </w:rPr>
        <w:t>Tablo-3.</w:t>
      </w:r>
      <w:r w:rsidR="004A57F1" w:rsidRPr="00FC4133">
        <w:rPr>
          <w:rFonts w:asciiTheme="minorHAnsi" w:hAnsiTheme="minorHAnsi"/>
        </w:rPr>
        <w:t xml:space="preserve"> </w:t>
      </w:r>
      <w:r w:rsidR="0040215A" w:rsidRPr="00FC4133">
        <w:rPr>
          <w:rFonts w:asciiTheme="minorHAnsi" w:hAnsiTheme="minorHAnsi"/>
        </w:rPr>
        <w:t xml:space="preserve">İşlerin geçen yılın aynı dönemine göre durumu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3F680E" w:rsidRPr="003127E7" w14:paraId="31816B7D" w14:textId="77777777" w:rsidTr="00BC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E7FE7C" w14:textId="77777777" w:rsidR="003F680E" w:rsidRPr="00847C02" w:rsidRDefault="003F680E" w:rsidP="00EF393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E1AD807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26DE5D7C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3BB528D3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FEC0B22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0D73E116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8EB247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4A5A2ADB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002ADDF7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07920E5F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093E0A7D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2C251333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255E6625" w14:textId="77777777" w:rsidR="003F680E" w:rsidRPr="00583AF6" w:rsidRDefault="003F680E" w:rsidP="00583AF6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eastAsia="tr-TR"/>
              </w:rPr>
            </w:pPr>
            <w:r w:rsidRPr="00583AF6">
              <w:rPr>
                <w:rFonts w:cs="Calibri"/>
                <w:b w:val="0"/>
                <w:bCs w:val="0"/>
                <w:color w:val="000000"/>
                <w:lang w:eastAsia="tr-TR"/>
              </w:rPr>
              <w:t>Aralık</w:t>
            </w:r>
          </w:p>
        </w:tc>
      </w:tr>
      <w:tr w:rsidR="004B5A15" w:rsidRPr="003127E7" w14:paraId="65C6E056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D057047" w14:textId="77777777" w:rsidR="004B5A15" w:rsidRPr="00847C02" w:rsidRDefault="004B5A15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2015</w:t>
            </w:r>
          </w:p>
        </w:tc>
        <w:tc>
          <w:tcPr>
            <w:tcW w:w="741" w:type="dxa"/>
            <w:noWrap/>
            <w:vAlign w:val="bottom"/>
            <w:hideMark/>
          </w:tcPr>
          <w:p w14:paraId="64B133C6" w14:textId="6FC9DC82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-36,6</w:t>
            </w:r>
          </w:p>
        </w:tc>
        <w:tc>
          <w:tcPr>
            <w:tcW w:w="807" w:type="dxa"/>
            <w:noWrap/>
            <w:vAlign w:val="bottom"/>
            <w:hideMark/>
          </w:tcPr>
          <w:p w14:paraId="7D1C26EA" w14:textId="351386CE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-27,2</w:t>
            </w:r>
          </w:p>
        </w:tc>
        <w:tc>
          <w:tcPr>
            <w:tcW w:w="708" w:type="dxa"/>
            <w:noWrap/>
            <w:vAlign w:val="bottom"/>
            <w:hideMark/>
          </w:tcPr>
          <w:p w14:paraId="3C0DE61B" w14:textId="03CC585D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-22,0</w:t>
            </w:r>
          </w:p>
        </w:tc>
        <w:tc>
          <w:tcPr>
            <w:tcW w:w="808" w:type="dxa"/>
            <w:noWrap/>
            <w:vAlign w:val="bottom"/>
            <w:hideMark/>
          </w:tcPr>
          <w:p w14:paraId="7C416076" w14:textId="6AB2303D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-27,9</w:t>
            </w:r>
          </w:p>
        </w:tc>
        <w:tc>
          <w:tcPr>
            <w:tcW w:w="808" w:type="dxa"/>
            <w:noWrap/>
            <w:vAlign w:val="bottom"/>
            <w:hideMark/>
          </w:tcPr>
          <w:p w14:paraId="731E9A15" w14:textId="5D6875E1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-23,7</w:t>
            </w:r>
          </w:p>
        </w:tc>
        <w:tc>
          <w:tcPr>
            <w:tcW w:w="974" w:type="dxa"/>
            <w:noWrap/>
            <w:vAlign w:val="bottom"/>
            <w:hideMark/>
          </w:tcPr>
          <w:p w14:paraId="780A0459" w14:textId="2898FFAB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-24,7</w:t>
            </w:r>
          </w:p>
        </w:tc>
        <w:tc>
          <w:tcPr>
            <w:tcW w:w="1063" w:type="dxa"/>
            <w:noWrap/>
            <w:vAlign w:val="bottom"/>
            <w:hideMark/>
          </w:tcPr>
          <w:p w14:paraId="3355B9C0" w14:textId="3F7169FC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-30,4</w:t>
            </w:r>
          </w:p>
        </w:tc>
        <w:tc>
          <w:tcPr>
            <w:tcW w:w="1052" w:type="dxa"/>
            <w:noWrap/>
            <w:vAlign w:val="bottom"/>
            <w:hideMark/>
          </w:tcPr>
          <w:p w14:paraId="7AC3D87B" w14:textId="614342CD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-27,5</w:t>
            </w:r>
          </w:p>
        </w:tc>
        <w:tc>
          <w:tcPr>
            <w:tcW w:w="730" w:type="dxa"/>
            <w:noWrap/>
            <w:vAlign w:val="bottom"/>
            <w:hideMark/>
          </w:tcPr>
          <w:p w14:paraId="4654EFCD" w14:textId="34E26D95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-30,4</w:t>
            </w:r>
          </w:p>
        </w:tc>
        <w:tc>
          <w:tcPr>
            <w:tcW w:w="730" w:type="dxa"/>
            <w:noWrap/>
            <w:vAlign w:val="bottom"/>
            <w:hideMark/>
          </w:tcPr>
          <w:p w14:paraId="438074E6" w14:textId="2F2D94B4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-35,6</w:t>
            </w:r>
          </w:p>
        </w:tc>
        <w:tc>
          <w:tcPr>
            <w:tcW w:w="852" w:type="dxa"/>
            <w:noWrap/>
            <w:vAlign w:val="bottom"/>
            <w:hideMark/>
          </w:tcPr>
          <w:p w14:paraId="321164D6" w14:textId="7CECDB1F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-25,0</w:t>
            </w:r>
          </w:p>
        </w:tc>
        <w:tc>
          <w:tcPr>
            <w:tcW w:w="808" w:type="dxa"/>
            <w:noWrap/>
            <w:vAlign w:val="bottom"/>
            <w:hideMark/>
          </w:tcPr>
          <w:p w14:paraId="605631F1" w14:textId="684D9AA9" w:rsidR="004B5A15" w:rsidRDefault="004B5A15" w:rsidP="009E4147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-22,8</w:t>
            </w:r>
          </w:p>
        </w:tc>
      </w:tr>
      <w:tr w:rsidR="004B5A15" w:rsidRPr="003127E7" w14:paraId="154F7A24" w14:textId="77777777" w:rsidTr="000B69E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99931C4" w14:textId="77777777" w:rsidR="004B5A15" w:rsidRDefault="004B5A15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41" w:type="dxa"/>
            <w:noWrap/>
            <w:vAlign w:val="bottom"/>
            <w:hideMark/>
          </w:tcPr>
          <w:p w14:paraId="2516DC9C" w14:textId="24C35C4E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-21,2</w:t>
            </w:r>
          </w:p>
        </w:tc>
        <w:tc>
          <w:tcPr>
            <w:tcW w:w="807" w:type="dxa"/>
            <w:noWrap/>
            <w:vAlign w:val="bottom"/>
            <w:hideMark/>
          </w:tcPr>
          <w:p w14:paraId="791A0D2F" w14:textId="51678970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-32,6</w:t>
            </w:r>
          </w:p>
        </w:tc>
        <w:tc>
          <w:tcPr>
            <w:tcW w:w="708" w:type="dxa"/>
            <w:noWrap/>
            <w:vAlign w:val="bottom"/>
            <w:hideMark/>
          </w:tcPr>
          <w:p w14:paraId="7778ACF9" w14:textId="6B01C77E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-31,3</w:t>
            </w:r>
          </w:p>
        </w:tc>
        <w:tc>
          <w:tcPr>
            <w:tcW w:w="808" w:type="dxa"/>
            <w:noWrap/>
            <w:vAlign w:val="bottom"/>
            <w:hideMark/>
          </w:tcPr>
          <w:p w14:paraId="6B90B1AF" w14:textId="79478092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-13,6</w:t>
            </w:r>
          </w:p>
        </w:tc>
        <w:tc>
          <w:tcPr>
            <w:tcW w:w="808" w:type="dxa"/>
            <w:noWrap/>
            <w:vAlign w:val="bottom"/>
            <w:hideMark/>
          </w:tcPr>
          <w:p w14:paraId="28FD6FB3" w14:textId="26DF784B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-27,6</w:t>
            </w:r>
          </w:p>
        </w:tc>
        <w:tc>
          <w:tcPr>
            <w:tcW w:w="974" w:type="dxa"/>
            <w:noWrap/>
            <w:vAlign w:val="bottom"/>
            <w:hideMark/>
          </w:tcPr>
          <w:p w14:paraId="1DB2F9E0" w14:textId="0AE3C33C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-35,2</w:t>
            </w:r>
          </w:p>
        </w:tc>
        <w:tc>
          <w:tcPr>
            <w:tcW w:w="1063" w:type="dxa"/>
            <w:noWrap/>
            <w:vAlign w:val="bottom"/>
            <w:hideMark/>
          </w:tcPr>
          <w:p w14:paraId="7628C3AA" w14:textId="5AFB57BF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-22,8</w:t>
            </w:r>
          </w:p>
        </w:tc>
        <w:tc>
          <w:tcPr>
            <w:tcW w:w="1052" w:type="dxa"/>
            <w:noWrap/>
            <w:vAlign w:val="bottom"/>
            <w:hideMark/>
          </w:tcPr>
          <w:p w14:paraId="14E740EE" w14:textId="0BB403F5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-27,5</w:t>
            </w:r>
          </w:p>
        </w:tc>
        <w:tc>
          <w:tcPr>
            <w:tcW w:w="730" w:type="dxa"/>
            <w:noWrap/>
            <w:vAlign w:val="bottom"/>
            <w:hideMark/>
          </w:tcPr>
          <w:p w14:paraId="06B29ACB" w14:textId="25E61726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-37,5</w:t>
            </w:r>
          </w:p>
        </w:tc>
        <w:tc>
          <w:tcPr>
            <w:tcW w:w="730" w:type="dxa"/>
            <w:noWrap/>
            <w:vAlign w:val="bottom"/>
            <w:hideMark/>
          </w:tcPr>
          <w:p w14:paraId="0CE9174B" w14:textId="7A2FE4BB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-42,7</w:t>
            </w:r>
          </w:p>
        </w:tc>
        <w:tc>
          <w:tcPr>
            <w:tcW w:w="852" w:type="dxa"/>
            <w:noWrap/>
            <w:vAlign w:val="bottom"/>
            <w:hideMark/>
          </w:tcPr>
          <w:p w14:paraId="652F5EE7" w14:textId="7818B375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-45,3</w:t>
            </w:r>
          </w:p>
        </w:tc>
        <w:tc>
          <w:tcPr>
            <w:tcW w:w="808" w:type="dxa"/>
            <w:noWrap/>
            <w:vAlign w:val="bottom"/>
            <w:hideMark/>
          </w:tcPr>
          <w:p w14:paraId="6558A8C5" w14:textId="104E97B3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</w:rPr>
              <w:t>-49,6</w:t>
            </w:r>
          </w:p>
        </w:tc>
      </w:tr>
      <w:tr w:rsidR="004B5A15" w:rsidRPr="00F87E72" w14:paraId="2D99BDCE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50D7220" w14:textId="77777777" w:rsidR="004B5A15" w:rsidRDefault="004B5A15" w:rsidP="005C4F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0FDFEE33" w14:textId="7D5D18E6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-43,3</w:t>
            </w:r>
          </w:p>
        </w:tc>
        <w:tc>
          <w:tcPr>
            <w:tcW w:w="807" w:type="dxa"/>
            <w:noWrap/>
            <w:vAlign w:val="bottom"/>
          </w:tcPr>
          <w:p w14:paraId="1CC1D353" w14:textId="18DEEBD8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-36,3</w:t>
            </w:r>
          </w:p>
        </w:tc>
        <w:tc>
          <w:tcPr>
            <w:tcW w:w="708" w:type="dxa"/>
            <w:noWrap/>
            <w:vAlign w:val="bottom"/>
          </w:tcPr>
          <w:p w14:paraId="52D4E4DA" w14:textId="1EBD95FF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-41,3</w:t>
            </w:r>
          </w:p>
        </w:tc>
        <w:tc>
          <w:tcPr>
            <w:tcW w:w="808" w:type="dxa"/>
            <w:noWrap/>
            <w:vAlign w:val="bottom"/>
          </w:tcPr>
          <w:p w14:paraId="4C5C66E5" w14:textId="52C7CAF2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808" w:type="dxa"/>
            <w:noWrap/>
            <w:vAlign w:val="bottom"/>
          </w:tcPr>
          <w:p w14:paraId="0FE44805" w14:textId="55C17A0F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-39,4</w:t>
            </w:r>
          </w:p>
        </w:tc>
        <w:tc>
          <w:tcPr>
            <w:tcW w:w="974" w:type="dxa"/>
            <w:noWrap/>
            <w:vAlign w:val="bottom"/>
          </w:tcPr>
          <w:p w14:paraId="43AB9FB7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63" w:type="dxa"/>
            <w:noWrap/>
            <w:vAlign w:val="bottom"/>
          </w:tcPr>
          <w:p w14:paraId="2A1AF64A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052" w:type="dxa"/>
            <w:noWrap/>
            <w:vAlign w:val="bottom"/>
          </w:tcPr>
          <w:p w14:paraId="6767414F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7F415806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noWrap/>
            <w:vAlign w:val="bottom"/>
          </w:tcPr>
          <w:p w14:paraId="08DAE6B4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noWrap/>
            <w:vAlign w:val="bottom"/>
          </w:tcPr>
          <w:p w14:paraId="50D13911" w14:textId="77777777" w:rsidR="004B5A15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14:paraId="05872B6E" w14:textId="77777777" w:rsidR="004B5A15" w:rsidRPr="00583AF6" w:rsidRDefault="004B5A15" w:rsidP="00F87E7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7E134D11" w14:textId="77777777" w:rsidR="008866B1" w:rsidRDefault="008866B1" w:rsidP="008866B1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45807F16" w14:textId="2A8CC3CF" w:rsidR="008866B1" w:rsidRDefault="00554BE1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>
        <w:rPr>
          <w:rFonts w:asciiTheme="minorHAnsi" w:hAnsiTheme="minorHAnsi" w:cs="Arial"/>
          <w:color w:val="0070C0"/>
          <w:sz w:val="28"/>
        </w:rPr>
        <w:t xml:space="preserve">Perakende güveni en fazla </w:t>
      </w:r>
      <w:r w:rsidR="00807899" w:rsidRPr="00401DF7">
        <w:rPr>
          <w:rFonts w:asciiTheme="minorHAnsi" w:hAnsiTheme="minorHAnsi" w:cs="Arial"/>
          <w:color w:val="0070C0"/>
          <w:sz w:val="28"/>
        </w:rPr>
        <w:t>“</w:t>
      </w:r>
      <w:r>
        <w:rPr>
          <w:rFonts w:asciiTheme="minorHAnsi" w:hAnsiTheme="minorHAnsi" w:cs="Arial"/>
          <w:color w:val="0070C0"/>
          <w:sz w:val="28"/>
        </w:rPr>
        <w:t>e</w:t>
      </w:r>
      <w:r w:rsidRPr="00554BE1">
        <w:rPr>
          <w:rFonts w:asciiTheme="minorHAnsi" w:hAnsiTheme="minorHAnsi" w:cs="Arial"/>
          <w:color w:val="0070C0"/>
          <w:sz w:val="28"/>
        </w:rPr>
        <w:t>lektrikli ev aletleri, radyo ve televizyonlar</w:t>
      </w:r>
      <w:r w:rsidR="002C027E" w:rsidRPr="00401DF7">
        <w:rPr>
          <w:rFonts w:asciiTheme="minorHAnsi" w:hAnsiTheme="minorHAnsi" w:cs="Arial"/>
          <w:color w:val="0070C0"/>
          <w:sz w:val="28"/>
        </w:rPr>
        <w:t>”</w:t>
      </w:r>
      <w:r w:rsidR="00504538">
        <w:rPr>
          <w:rFonts w:asciiTheme="minorHAnsi" w:hAnsiTheme="minorHAnsi" w:cs="Arial"/>
          <w:color w:val="0070C0"/>
          <w:sz w:val="28"/>
        </w:rPr>
        <w:t xml:space="preserve"> sektörü</w:t>
      </w:r>
      <w:r>
        <w:rPr>
          <w:rFonts w:asciiTheme="minorHAnsi" w:hAnsiTheme="minorHAnsi" w:cs="Arial"/>
          <w:color w:val="0070C0"/>
          <w:sz w:val="28"/>
        </w:rPr>
        <w:t>nde arttı</w:t>
      </w:r>
    </w:p>
    <w:p w14:paraId="555D350E" w14:textId="77777777" w:rsidR="00213119" w:rsidRDefault="008A3625" w:rsidP="009C2B1D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13A5B">
        <w:rPr>
          <w:rFonts w:asciiTheme="minorHAnsi" w:hAnsiTheme="minorHAnsi" w:cs="Arial"/>
          <w:b w:val="0"/>
          <w:color w:val="0070C0"/>
          <w:sz w:val="24"/>
        </w:rPr>
        <w:t xml:space="preserve">Perakende güvenine alt sektörler itibarıyla bakıldığında </w:t>
      </w:r>
      <w:r w:rsidR="00345B19">
        <w:rPr>
          <w:rFonts w:asciiTheme="minorHAnsi" w:hAnsiTheme="minorHAnsi" w:cs="Arial"/>
          <w:b w:val="0"/>
          <w:color w:val="0070C0"/>
          <w:sz w:val="24"/>
        </w:rPr>
        <w:t>Mayıs</w:t>
      </w:r>
      <w:r w:rsidRPr="00113A5B">
        <w:rPr>
          <w:rFonts w:asciiTheme="minorHAnsi" w:hAnsiTheme="minorHAnsi" w:cs="Arial"/>
          <w:b w:val="0"/>
          <w:color w:val="0070C0"/>
          <w:sz w:val="24"/>
        </w:rPr>
        <w:t xml:space="preserve"> 2017’de, geçen yılın aynı dönemine göre artış 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>“elektrikli ev aletleri, radyo ve televizyonlar”</w:t>
      </w:r>
      <w:r w:rsidR="00345B19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>“motorlu taşıtlar”</w:t>
      </w:r>
      <w:r w:rsidR="00345B19">
        <w:rPr>
          <w:rFonts w:asciiTheme="minorHAnsi" w:hAnsiTheme="minorHAnsi" w:cs="Arial"/>
          <w:b w:val="0"/>
          <w:color w:val="0070C0"/>
          <w:sz w:val="24"/>
        </w:rPr>
        <w:t xml:space="preserve"> sektörlerinde</w:t>
      </w:r>
      <w:r w:rsidR="00F87E72" w:rsidRPr="00113A5B">
        <w:rPr>
          <w:rFonts w:asciiTheme="minorHAnsi" w:hAnsiTheme="minorHAnsi" w:cs="Arial"/>
          <w:b w:val="0"/>
          <w:color w:val="0070C0"/>
          <w:sz w:val="24"/>
        </w:rPr>
        <w:t xml:space="preserve"> gerçekleşti. </w:t>
      </w:r>
      <w:r w:rsidR="00775BC0">
        <w:rPr>
          <w:rFonts w:asciiTheme="minorHAnsi" w:hAnsiTheme="minorHAnsi" w:cs="Arial"/>
          <w:b w:val="0"/>
          <w:color w:val="0070C0"/>
          <w:sz w:val="24"/>
        </w:rPr>
        <w:t xml:space="preserve">Elektrikli ev aletleri sektöründeki güvenin artışında </w:t>
      </w:r>
      <w:r w:rsidR="005D5B0C">
        <w:rPr>
          <w:rFonts w:asciiTheme="minorHAnsi" w:hAnsiTheme="minorHAnsi" w:cs="Arial"/>
          <w:b w:val="0"/>
          <w:color w:val="0070C0"/>
          <w:sz w:val="24"/>
        </w:rPr>
        <w:t xml:space="preserve">özellikle </w:t>
      </w:r>
      <w:r w:rsidR="00775BC0">
        <w:rPr>
          <w:rFonts w:asciiTheme="minorHAnsi" w:hAnsiTheme="minorHAnsi" w:cs="Arial"/>
          <w:b w:val="0"/>
          <w:color w:val="0070C0"/>
          <w:sz w:val="24"/>
        </w:rPr>
        <w:t>önümüzdeki döneme ilişkin satış beklentilerindeki iyileşme etkili oldu.</w:t>
      </w:r>
      <w:r w:rsidR="005D5B0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0C213703" w14:textId="77777777" w:rsidR="00213119" w:rsidRDefault="00213119" w:rsidP="009C2B1D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</w:p>
    <w:p w14:paraId="6D9836D9" w14:textId="73C949CD" w:rsidR="00281D62" w:rsidRPr="005D5B0C" w:rsidRDefault="00F87E72" w:rsidP="009C2B1D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113A5B">
        <w:rPr>
          <w:rFonts w:asciiTheme="minorHAnsi" w:hAnsiTheme="minorHAnsi" w:cs="Arial"/>
          <w:b w:val="0"/>
          <w:color w:val="0070C0"/>
          <w:sz w:val="24"/>
        </w:rPr>
        <w:t xml:space="preserve">“Tekstil, hazır giyim ve ayakkabı”, 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“diğer (akaryakıt istasyonu, eczane, parfümeri, nalbur, </w:t>
      </w:r>
      <w:proofErr w:type="spellStart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>züccaciye</w:t>
      </w:r>
      <w:proofErr w:type="spellEnd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>, kırtasiye, vb.)”</w:t>
      </w:r>
      <w:r w:rsidR="00345B19">
        <w:rPr>
          <w:rFonts w:asciiTheme="minorHAnsi" w:hAnsiTheme="minorHAnsi" w:cs="Arial"/>
          <w:b w:val="0"/>
          <w:color w:val="0070C0"/>
          <w:sz w:val="24"/>
        </w:rPr>
        <w:t>,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 “birden fazla türde ürün satan bakkal, market ve büyük mağazalar”</w:t>
      </w:r>
      <w:r w:rsidR="00345B19">
        <w:rPr>
          <w:rFonts w:asciiTheme="minorHAnsi" w:hAnsiTheme="minorHAnsi" w:cs="Arial"/>
          <w:b w:val="0"/>
          <w:color w:val="0070C0"/>
          <w:sz w:val="24"/>
        </w:rPr>
        <w:t>,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113A5B">
        <w:rPr>
          <w:rFonts w:asciiTheme="minorHAnsi" w:hAnsiTheme="minorHAnsi" w:cs="Arial"/>
          <w:b w:val="0"/>
          <w:color w:val="0070C0"/>
          <w:sz w:val="24"/>
        </w:rPr>
        <w:t>“yiyecek, içecek ve tütün ürünleri</w:t>
      </w:r>
      <w:r w:rsidR="00345B19">
        <w:rPr>
          <w:rFonts w:asciiTheme="minorHAnsi" w:hAnsiTheme="minorHAnsi" w:cs="Arial"/>
          <w:b w:val="0"/>
          <w:color w:val="0070C0"/>
          <w:sz w:val="24"/>
        </w:rPr>
        <w:t>”</w:t>
      </w:r>
      <w:r>
        <w:rPr>
          <w:rFonts w:asciiTheme="minorHAnsi" w:hAnsiTheme="minorHAnsi" w:cs="Arial"/>
          <w:b w:val="0"/>
          <w:color w:val="0070C0"/>
          <w:sz w:val="24"/>
        </w:rPr>
        <w:t xml:space="preserve"> ve</w:t>
      </w:r>
      <w:r w:rsidR="008A3625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“mobilya, aydınlatma </w:t>
      </w:r>
      <w:proofErr w:type="gramStart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</w:t>
      </w:r>
      <w:r w:rsidR="00345B19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A3625">
        <w:rPr>
          <w:rFonts w:asciiTheme="minorHAnsi" w:hAnsiTheme="minorHAnsi" w:cs="Arial"/>
          <w:b w:val="0"/>
          <w:color w:val="0070C0"/>
          <w:sz w:val="24"/>
        </w:rPr>
        <w:t>sektör</w:t>
      </w:r>
      <w:r>
        <w:rPr>
          <w:rFonts w:asciiTheme="minorHAnsi" w:hAnsiTheme="minorHAnsi" w:cs="Arial"/>
          <w:b w:val="0"/>
          <w:color w:val="0070C0"/>
          <w:sz w:val="24"/>
        </w:rPr>
        <w:t xml:space="preserve">lerinde düşüş gözlendi. </w:t>
      </w:r>
      <w:r w:rsidR="00345B19">
        <w:rPr>
          <w:rFonts w:asciiTheme="minorHAnsi" w:hAnsiTheme="minorHAnsi" w:cs="Arial"/>
          <w:b w:val="0"/>
          <w:color w:val="0070C0"/>
          <w:sz w:val="24"/>
        </w:rPr>
        <w:t>“E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>lektrikli ev aletl</w:t>
      </w:r>
      <w:r w:rsidR="00345B19">
        <w:rPr>
          <w:rFonts w:asciiTheme="minorHAnsi" w:hAnsiTheme="minorHAnsi" w:cs="Arial"/>
          <w:b w:val="0"/>
          <w:color w:val="0070C0"/>
          <w:sz w:val="24"/>
        </w:rPr>
        <w:t>eri, radyo ve televizyonlar”, “motorlu taşıtlar”, “t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>e</w:t>
      </w:r>
      <w:r w:rsidR="00345B19">
        <w:rPr>
          <w:rFonts w:asciiTheme="minorHAnsi" w:hAnsiTheme="minorHAnsi" w:cs="Arial"/>
          <w:b w:val="0"/>
          <w:color w:val="0070C0"/>
          <w:sz w:val="24"/>
        </w:rPr>
        <w:t>kstil, hazır giyim ve ayakkabı” ve</w:t>
      </w:r>
      <w:r w:rsidR="00345B19" w:rsidRPr="00345B19">
        <w:rPr>
          <w:rFonts w:asciiTheme="minorHAnsi" w:hAnsiTheme="minorHAnsi" w:cs="Arial"/>
          <w:b w:val="0"/>
          <w:color w:val="0070C0"/>
          <w:sz w:val="24"/>
        </w:rPr>
        <w:t xml:space="preserve"> “diğer (akaryakıt istasyonu, eczane, parfümeri, nalbur, </w:t>
      </w:r>
      <w:proofErr w:type="spellStart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>züccaciye</w:t>
      </w:r>
      <w:proofErr w:type="spellEnd"/>
      <w:r w:rsidR="00345B19" w:rsidRPr="00345B19">
        <w:rPr>
          <w:rFonts w:asciiTheme="minorHAnsi" w:hAnsiTheme="minorHAnsi" w:cs="Arial"/>
          <w:b w:val="0"/>
          <w:color w:val="0070C0"/>
          <w:sz w:val="24"/>
        </w:rPr>
        <w:t>, kırtasiye, vb.)”</w:t>
      </w:r>
      <w:r w:rsidR="00A72821">
        <w:rPr>
          <w:rFonts w:asciiTheme="minorHAnsi" w:hAnsiTheme="minorHAnsi" w:cs="Arial"/>
          <w:b w:val="0"/>
          <w:color w:val="0070C0"/>
          <w:sz w:val="24"/>
        </w:rPr>
        <w:t xml:space="preserve"> sektörleri </w:t>
      </w:r>
      <w:r>
        <w:rPr>
          <w:rFonts w:asciiTheme="minorHAnsi" w:hAnsiTheme="minorHAnsi" w:cs="Arial"/>
          <w:b w:val="0"/>
          <w:color w:val="0070C0"/>
          <w:sz w:val="24"/>
        </w:rPr>
        <w:t>ortalamanın üzeri</w:t>
      </w:r>
      <w:r w:rsidR="00A72821">
        <w:rPr>
          <w:rFonts w:asciiTheme="minorHAnsi" w:hAnsiTheme="minorHAnsi" w:cs="Arial"/>
          <w:b w:val="0"/>
          <w:color w:val="0070C0"/>
          <w:sz w:val="24"/>
        </w:rPr>
        <w:t>n</w:t>
      </w:r>
      <w:r>
        <w:rPr>
          <w:rFonts w:asciiTheme="minorHAnsi" w:hAnsiTheme="minorHAnsi" w:cs="Arial"/>
          <w:b w:val="0"/>
          <w:color w:val="0070C0"/>
          <w:sz w:val="24"/>
        </w:rPr>
        <w:t>de</w:t>
      </w:r>
      <w:r w:rsidR="00A72821">
        <w:rPr>
          <w:rFonts w:asciiTheme="minorHAnsi" w:hAnsiTheme="minorHAnsi" w:cs="Arial"/>
          <w:b w:val="0"/>
          <w:color w:val="0070C0"/>
          <w:sz w:val="24"/>
        </w:rPr>
        <w:t xml:space="preserve"> değer aldı. </w:t>
      </w:r>
      <w:r w:rsidR="008A3625">
        <w:rPr>
          <w:rFonts w:asciiTheme="minorHAnsi" w:hAnsiTheme="minorHAnsi" w:cs="Arial"/>
          <w:b w:val="0"/>
          <w:color w:val="0070C0"/>
          <w:sz w:val="24"/>
        </w:rPr>
        <w:t xml:space="preserve">En fazla düşüş </w:t>
      </w:r>
      <w:r w:rsidR="005D5B0C">
        <w:rPr>
          <w:rFonts w:asciiTheme="minorHAnsi" w:hAnsiTheme="minorHAnsi" w:cs="Arial"/>
          <w:b w:val="0"/>
          <w:color w:val="0070C0"/>
          <w:sz w:val="24"/>
        </w:rPr>
        <w:t xml:space="preserve">ise geçtiğimiz ay en yüksek düşüşü sergileyen </w:t>
      </w:r>
      <w:r w:rsidR="00554BE1" w:rsidRPr="00554BE1">
        <w:rPr>
          <w:rFonts w:asciiTheme="minorHAnsi" w:hAnsiTheme="minorHAnsi" w:cs="Arial"/>
          <w:b w:val="0"/>
          <w:color w:val="0070C0"/>
          <w:sz w:val="24"/>
        </w:rPr>
        <w:t xml:space="preserve">“mobilya, aydınlatma </w:t>
      </w:r>
      <w:proofErr w:type="gramStart"/>
      <w:r w:rsidR="00554BE1" w:rsidRPr="00554BE1">
        <w:rPr>
          <w:rFonts w:asciiTheme="minorHAnsi" w:hAnsiTheme="minorHAnsi" w:cs="Arial"/>
          <w:b w:val="0"/>
          <w:color w:val="0070C0"/>
          <w:sz w:val="24"/>
        </w:rPr>
        <w:t>ekipmanı</w:t>
      </w:r>
      <w:proofErr w:type="gramEnd"/>
      <w:r w:rsidR="00554BE1" w:rsidRPr="00554BE1">
        <w:rPr>
          <w:rFonts w:asciiTheme="minorHAnsi" w:hAnsiTheme="minorHAnsi" w:cs="Arial"/>
          <w:b w:val="0"/>
          <w:color w:val="0070C0"/>
          <w:sz w:val="24"/>
        </w:rPr>
        <w:t xml:space="preserve"> ve ev içi kullanım ürünleri”</w:t>
      </w:r>
      <w:r w:rsidR="008A3625">
        <w:rPr>
          <w:rFonts w:asciiTheme="minorHAnsi" w:hAnsiTheme="minorHAnsi" w:cs="Arial"/>
          <w:b w:val="0"/>
          <w:color w:val="0070C0"/>
          <w:sz w:val="24"/>
        </w:rPr>
        <w:t xml:space="preserve"> sektöründe gerçekleşti</w:t>
      </w:r>
      <w:r w:rsidR="005D5B0C">
        <w:rPr>
          <w:rFonts w:asciiTheme="minorHAnsi" w:hAnsiTheme="minorHAnsi" w:cs="Arial"/>
          <w:b w:val="0"/>
          <w:color w:val="0070C0"/>
          <w:sz w:val="24"/>
        </w:rPr>
        <w:t xml:space="preserve">. Sektörde, endeksin tüm alt göstergelerinde olumsuz gelişmeler yaşanırken, özellikle gelecek 3 aydaki satış beklentilerindeki kötüleşmenin etkili olduğu görüldü. </w:t>
      </w:r>
    </w:p>
    <w:p w14:paraId="037D0418" w14:textId="77777777" w:rsidR="008A3625" w:rsidRPr="008A3625" w:rsidRDefault="008A3625" w:rsidP="008A3625"/>
    <w:p w14:paraId="6E12B780" w14:textId="3BC233A4" w:rsidR="00A40577" w:rsidRDefault="00963B01" w:rsidP="00554BE1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7F7A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4</w:t>
      </w:r>
      <w:r w:rsidRPr="007F7A5F">
        <w:rPr>
          <w:rFonts w:asciiTheme="minorHAnsi" w:hAnsiTheme="minorHAnsi"/>
          <w:b/>
        </w:rPr>
        <w:t>.</w:t>
      </w:r>
      <w:r w:rsidRPr="007F7A5F">
        <w:rPr>
          <w:rFonts w:asciiTheme="minorHAnsi" w:hAnsiTheme="minorHAnsi"/>
        </w:rPr>
        <w:t xml:space="preserve"> </w:t>
      </w:r>
      <w:r w:rsidR="009869E1" w:rsidRPr="007F7A5F">
        <w:rPr>
          <w:rFonts w:asciiTheme="minorHAnsi" w:hAnsiTheme="minorHAnsi"/>
        </w:rPr>
        <w:t xml:space="preserve">Alt sektör bazında </w:t>
      </w:r>
      <w:proofErr w:type="spellStart"/>
      <w:r w:rsidRPr="007F7A5F">
        <w:rPr>
          <w:rFonts w:asciiTheme="minorHAnsi" w:hAnsiTheme="minorHAnsi"/>
        </w:rPr>
        <w:t>TEPE’nin</w:t>
      </w:r>
      <w:proofErr w:type="spellEnd"/>
      <w:r w:rsidRPr="007F7A5F">
        <w:rPr>
          <w:rFonts w:asciiTheme="minorHAnsi" w:hAnsiTheme="minorHAnsi"/>
        </w:rPr>
        <w:t xml:space="preserve"> </w:t>
      </w:r>
      <w:r w:rsidR="00554BE1">
        <w:rPr>
          <w:rFonts w:asciiTheme="minorHAnsi" w:hAnsiTheme="minorHAnsi"/>
        </w:rPr>
        <w:t>Mayıs</w:t>
      </w:r>
      <w:r w:rsidR="00A72821">
        <w:rPr>
          <w:rFonts w:asciiTheme="minorHAnsi" w:hAnsiTheme="minorHAnsi"/>
        </w:rPr>
        <w:t xml:space="preserve"> </w:t>
      </w:r>
      <w:r w:rsidR="00F356A0">
        <w:rPr>
          <w:rFonts w:asciiTheme="minorHAnsi" w:hAnsiTheme="minorHAnsi"/>
        </w:rPr>
        <w:t>2017’de</w:t>
      </w:r>
      <w:r w:rsidRPr="007F7A5F">
        <w:rPr>
          <w:rFonts w:asciiTheme="minorHAnsi" w:hAnsiTheme="minorHAnsi"/>
        </w:rPr>
        <w:t xml:space="preserve"> </w:t>
      </w:r>
      <w:r w:rsidR="00B364DA">
        <w:rPr>
          <w:rFonts w:asciiTheme="minorHAnsi" w:hAnsiTheme="minorHAnsi"/>
        </w:rPr>
        <w:t>geçen</w:t>
      </w:r>
      <w:r w:rsidRPr="007F7A5F">
        <w:rPr>
          <w:rFonts w:asciiTheme="minorHAnsi" w:hAnsiTheme="minorHAnsi"/>
        </w:rPr>
        <w:t xml:space="preserve"> yılın ayn</w:t>
      </w:r>
      <w:r w:rsidR="006943C3">
        <w:rPr>
          <w:rFonts w:asciiTheme="minorHAnsi" w:hAnsiTheme="minorHAnsi"/>
        </w:rPr>
        <w:t>ı dönemine göre değişimi (puan)</w:t>
      </w:r>
    </w:p>
    <w:p w14:paraId="5F169ED6" w14:textId="6E9A5F3E" w:rsidR="00DE03DF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344B29A" wp14:editId="27F7C2CA">
            <wp:extent cx="5759450" cy="3082402"/>
            <wp:effectExtent l="0" t="0" r="12700" b="2286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D862F8" w14:textId="77777777" w:rsidR="009A1DC3" w:rsidRDefault="009A1DC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55974CC" w14:textId="77777777" w:rsidR="00691154" w:rsidRDefault="00691154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6F89087" w14:textId="77777777" w:rsidR="00554BE1" w:rsidRDefault="00554BE1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33E29280" w14:textId="77777777" w:rsidR="008A2EB3" w:rsidRDefault="008A2EB3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61B018F" w14:textId="77777777" w:rsidR="00C13459" w:rsidRDefault="00C13459" w:rsidP="004A087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7C696024" w14:textId="32FDA214" w:rsidR="00A1408B" w:rsidRPr="00A1408B" w:rsidRDefault="009D43A7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805007">
        <w:rPr>
          <w:rFonts w:asciiTheme="minorHAnsi" w:hAnsiTheme="minorHAnsi" w:cs="Arial"/>
          <w:color w:val="0070C0"/>
          <w:sz w:val="28"/>
        </w:rPr>
        <w:t>Perakendede</w:t>
      </w:r>
      <w:r w:rsidR="00215CCC" w:rsidRPr="00805007">
        <w:rPr>
          <w:rFonts w:asciiTheme="minorHAnsi" w:hAnsiTheme="minorHAnsi" w:cs="Arial"/>
          <w:color w:val="0070C0"/>
          <w:sz w:val="28"/>
        </w:rPr>
        <w:t xml:space="preserve"> </w:t>
      </w:r>
      <w:r w:rsidR="00FA6568">
        <w:rPr>
          <w:rFonts w:asciiTheme="minorHAnsi" w:hAnsiTheme="minorHAnsi" w:cs="Arial"/>
          <w:color w:val="0070C0"/>
          <w:sz w:val="28"/>
        </w:rPr>
        <w:t xml:space="preserve">satış </w:t>
      </w:r>
      <w:r w:rsidR="007249F8" w:rsidRPr="00805007">
        <w:rPr>
          <w:rFonts w:asciiTheme="minorHAnsi" w:hAnsiTheme="minorHAnsi" w:cs="Arial"/>
          <w:color w:val="0070C0"/>
          <w:sz w:val="28"/>
        </w:rPr>
        <w:t>beklentiler</w:t>
      </w:r>
      <w:r w:rsidR="00FA6568">
        <w:rPr>
          <w:rFonts w:asciiTheme="minorHAnsi" w:hAnsiTheme="minorHAnsi" w:cs="Arial"/>
          <w:color w:val="0070C0"/>
          <w:sz w:val="28"/>
        </w:rPr>
        <w:t xml:space="preserve">i </w:t>
      </w:r>
      <w:r w:rsidR="003A6A30">
        <w:rPr>
          <w:rFonts w:asciiTheme="minorHAnsi" w:hAnsiTheme="minorHAnsi" w:cs="Arial"/>
          <w:color w:val="0070C0"/>
          <w:sz w:val="28"/>
        </w:rPr>
        <w:t>kötüleşiyor</w:t>
      </w:r>
    </w:p>
    <w:p w14:paraId="719A38C4" w14:textId="5BABC900" w:rsidR="00C74691" w:rsidRDefault="00201819" w:rsidP="008866B1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TEPE anketine soru bazında bakıldığında</w:t>
      </w:r>
      <w:r w:rsidR="005C7F1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54BE1">
        <w:rPr>
          <w:rFonts w:asciiTheme="minorHAnsi" w:hAnsiTheme="minorHAnsi" w:cs="Arial"/>
          <w:b w:val="0"/>
          <w:color w:val="0070C0"/>
          <w:sz w:val="24"/>
        </w:rPr>
        <w:t>Mayıs</w:t>
      </w:r>
      <w:r w:rsidR="00AF1F84" w:rsidRPr="00A1408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C44A30">
        <w:rPr>
          <w:rFonts w:asciiTheme="minorHAnsi" w:hAnsiTheme="minorHAnsi" w:cs="Arial"/>
          <w:b w:val="0"/>
          <w:color w:val="0070C0"/>
          <w:sz w:val="24"/>
        </w:rPr>
        <w:t>2017’de</w:t>
      </w:r>
      <w:r w:rsidR="00DE1B8B" w:rsidRPr="00A1408B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35C86">
        <w:rPr>
          <w:rFonts w:asciiTheme="minorHAnsi" w:hAnsiTheme="minorHAnsi" w:cs="Arial"/>
          <w:b w:val="0"/>
          <w:color w:val="0070C0"/>
          <w:sz w:val="24"/>
        </w:rPr>
        <w:t>“g</w:t>
      </w:r>
      <w:r w:rsidR="00B35C86" w:rsidRPr="00B35C86">
        <w:rPr>
          <w:rFonts w:asciiTheme="minorHAnsi" w:hAnsiTheme="minorHAnsi" w:cs="Arial"/>
          <w:b w:val="0"/>
          <w:color w:val="0070C0"/>
          <w:sz w:val="24"/>
        </w:rPr>
        <w:t>eçtiğimiz 3 ayda işlerin durumu”</w:t>
      </w:r>
      <w:r w:rsidR="00925295">
        <w:rPr>
          <w:rFonts w:asciiTheme="minorHAnsi" w:hAnsiTheme="minorHAnsi" w:cs="Arial"/>
          <w:b w:val="0"/>
          <w:color w:val="0070C0"/>
          <w:sz w:val="24"/>
        </w:rPr>
        <w:t>,</w:t>
      </w:r>
      <w:r w:rsidR="00B35C86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2201A">
        <w:rPr>
          <w:rFonts w:asciiTheme="minorHAnsi" w:hAnsiTheme="minorHAnsi" w:cs="Arial"/>
          <w:b w:val="0"/>
          <w:color w:val="0070C0"/>
          <w:sz w:val="24"/>
        </w:rPr>
        <w:t>“ö</w:t>
      </w:r>
      <w:r w:rsidR="00D57CFB">
        <w:rPr>
          <w:rFonts w:asciiTheme="minorHAnsi" w:hAnsiTheme="minorHAnsi" w:cs="Arial"/>
          <w:b w:val="0"/>
          <w:color w:val="0070C0"/>
          <w:sz w:val="24"/>
        </w:rPr>
        <w:t>nümüzdeki 3 ayda tedarikçilerden sipar</w:t>
      </w:r>
      <w:r w:rsidR="0026656F">
        <w:rPr>
          <w:rFonts w:asciiTheme="minorHAnsi" w:hAnsiTheme="minorHAnsi" w:cs="Arial"/>
          <w:b w:val="0"/>
          <w:color w:val="0070C0"/>
          <w:sz w:val="24"/>
        </w:rPr>
        <w:t>iş</w:t>
      </w:r>
      <w:r w:rsidR="0022201A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D91970">
        <w:rPr>
          <w:rFonts w:asciiTheme="minorHAnsi" w:hAnsiTheme="minorHAnsi" w:cs="Arial"/>
          <w:b w:val="0"/>
          <w:color w:val="0070C0"/>
          <w:sz w:val="24"/>
        </w:rPr>
        <w:t>istihdam</w:t>
      </w:r>
      <w:r w:rsidR="0022201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6656F">
        <w:rPr>
          <w:rFonts w:asciiTheme="minorHAnsi" w:hAnsiTheme="minorHAnsi" w:cs="Arial"/>
          <w:b w:val="0"/>
          <w:color w:val="0070C0"/>
          <w:sz w:val="24"/>
        </w:rPr>
        <w:t>beklentisi</w:t>
      </w:r>
      <w:r w:rsidR="00D57CFB">
        <w:rPr>
          <w:rFonts w:asciiTheme="minorHAnsi" w:hAnsiTheme="minorHAnsi" w:cs="Arial"/>
          <w:b w:val="0"/>
          <w:color w:val="0070C0"/>
          <w:sz w:val="24"/>
        </w:rPr>
        <w:t>”</w:t>
      </w:r>
      <w:r w:rsidR="00352B5A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554BE1">
        <w:rPr>
          <w:rFonts w:asciiTheme="minorHAnsi" w:hAnsiTheme="minorHAnsi" w:cs="Arial"/>
          <w:b w:val="0"/>
          <w:color w:val="0070C0"/>
          <w:sz w:val="24"/>
        </w:rPr>
        <w:t>göstergeleri Mayıs 2016’ya</w:t>
      </w:r>
      <w:r w:rsidR="00006A1B">
        <w:rPr>
          <w:rFonts w:asciiTheme="minorHAnsi" w:hAnsiTheme="minorHAnsi" w:cs="Arial"/>
          <w:b w:val="0"/>
          <w:color w:val="0070C0"/>
          <w:sz w:val="24"/>
        </w:rPr>
        <w:t xml:space="preserve"> göre azalış</w:t>
      </w:r>
      <w:r w:rsidR="00554BE1">
        <w:rPr>
          <w:rFonts w:asciiTheme="minorHAnsi" w:hAnsiTheme="minorHAnsi" w:cs="Arial"/>
          <w:b w:val="0"/>
          <w:color w:val="0070C0"/>
          <w:sz w:val="24"/>
        </w:rPr>
        <w:t xml:space="preserve">, Nisan 2017’ye göre </w:t>
      </w:r>
      <w:r w:rsidR="00006A1B">
        <w:rPr>
          <w:rFonts w:asciiTheme="minorHAnsi" w:hAnsiTheme="minorHAnsi" w:cs="Arial"/>
          <w:b w:val="0"/>
          <w:color w:val="0070C0"/>
          <w:sz w:val="24"/>
        </w:rPr>
        <w:t>art</w:t>
      </w:r>
      <w:r w:rsidR="00F70E96">
        <w:rPr>
          <w:rFonts w:asciiTheme="minorHAnsi" w:hAnsiTheme="minorHAnsi" w:cs="Arial"/>
          <w:b w:val="0"/>
          <w:color w:val="0070C0"/>
          <w:sz w:val="24"/>
        </w:rPr>
        <w:t>ış gösterirken</w:t>
      </w:r>
      <w:r w:rsidR="00006A1B">
        <w:rPr>
          <w:rFonts w:asciiTheme="minorHAnsi" w:hAnsiTheme="minorHAnsi" w:cs="Arial"/>
          <w:b w:val="0"/>
          <w:color w:val="0070C0"/>
          <w:sz w:val="24"/>
        </w:rPr>
        <w:t xml:space="preserve">; </w:t>
      </w:r>
      <w:r w:rsidR="00006A1B" w:rsidRPr="00006A1B">
        <w:rPr>
          <w:rFonts w:asciiTheme="minorHAnsi" w:hAnsiTheme="minorHAnsi" w:cs="Arial"/>
          <w:b w:val="0"/>
          <w:color w:val="0070C0"/>
          <w:sz w:val="24"/>
        </w:rPr>
        <w:t xml:space="preserve">“önümüzdeki 3 ayda </w:t>
      </w:r>
      <w:r w:rsidR="00006A1B">
        <w:rPr>
          <w:rFonts w:asciiTheme="minorHAnsi" w:hAnsiTheme="minorHAnsi" w:cs="Arial"/>
          <w:b w:val="0"/>
          <w:color w:val="0070C0"/>
          <w:sz w:val="24"/>
        </w:rPr>
        <w:t xml:space="preserve">satış fiyatı </w:t>
      </w:r>
      <w:r w:rsidR="00006A1B" w:rsidRPr="00006A1B">
        <w:rPr>
          <w:rFonts w:asciiTheme="minorHAnsi" w:hAnsiTheme="minorHAnsi" w:cs="Arial"/>
          <w:b w:val="0"/>
          <w:color w:val="0070C0"/>
          <w:sz w:val="24"/>
        </w:rPr>
        <w:t>beklentisi”</w:t>
      </w:r>
      <w:r w:rsidR="00006A1B">
        <w:rPr>
          <w:rFonts w:asciiTheme="minorHAnsi" w:hAnsiTheme="minorHAnsi" w:cs="Arial"/>
          <w:b w:val="0"/>
          <w:color w:val="0070C0"/>
          <w:sz w:val="24"/>
        </w:rPr>
        <w:t xml:space="preserve"> göstergesi ise ters seyir izledi</w:t>
      </w:r>
      <w:r w:rsidR="00554BE1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="00A24FAD">
        <w:rPr>
          <w:rFonts w:asciiTheme="minorHAnsi" w:hAnsiTheme="minorHAnsi" w:cs="Arial"/>
          <w:b w:val="0"/>
          <w:color w:val="0070C0"/>
          <w:sz w:val="24"/>
        </w:rPr>
        <w:t xml:space="preserve">“Önümüzdeki 3 ayda satış </w:t>
      </w:r>
      <w:r w:rsidR="00A24FAD" w:rsidRPr="00A24FAD">
        <w:rPr>
          <w:rFonts w:asciiTheme="minorHAnsi" w:hAnsiTheme="minorHAnsi" w:cs="Arial"/>
          <w:b w:val="0"/>
          <w:color w:val="0070C0"/>
          <w:sz w:val="24"/>
        </w:rPr>
        <w:t>beklentisi”</w:t>
      </w:r>
      <w:r w:rsidR="00A24FAD">
        <w:rPr>
          <w:rFonts w:asciiTheme="minorHAnsi" w:hAnsiTheme="minorHAnsi" w:cs="Arial"/>
          <w:b w:val="0"/>
          <w:color w:val="0070C0"/>
          <w:sz w:val="24"/>
        </w:rPr>
        <w:t>, “i</w:t>
      </w:r>
      <w:r w:rsidR="00A24FAD" w:rsidRPr="00A24FAD">
        <w:rPr>
          <w:rFonts w:asciiTheme="minorHAnsi" w:hAnsiTheme="minorHAnsi" w:cs="Arial"/>
          <w:b w:val="0"/>
          <w:color w:val="0070C0"/>
          <w:sz w:val="24"/>
        </w:rPr>
        <w:t xml:space="preserve">şlerin geçen yıla göre durumu” </w:t>
      </w:r>
      <w:r w:rsidR="00A24FAD">
        <w:rPr>
          <w:rFonts w:asciiTheme="minorHAnsi" w:hAnsiTheme="minorHAnsi" w:cs="Arial"/>
          <w:b w:val="0"/>
          <w:color w:val="0070C0"/>
          <w:sz w:val="24"/>
        </w:rPr>
        <w:t xml:space="preserve">ve </w:t>
      </w:r>
      <w:r w:rsidR="00006A1B">
        <w:rPr>
          <w:rFonts w:asciiTheme="minorHAnsi" w:hAnsiTheme="minorHAnsi" w:cs="Arial"/>
          <w:b w:val="0"/>
          <w:color w:val="0070C0"/>
          <w:sz w:val="24"/>
        </w:rPr>
        <w:t>“</w:t>
      </w:r>
      <w:r w:rsidR="00925295" w:rsidRPr="00925295">
        <w:rPr>
          <w:rFonts w:asciiTheme="minorHAnsi" w:hAnsiTheme="minorHAnsi" w:cs="Arial"/>
          <w:b w:val="0"/>
          <w:color w:val="0070C0"/>
          <w:sz w:val="24"/>
        </w:rPr>
        <w:t>gelecek yıl mağaza sayısı beklentisi”</w:t>
      </w:r>
      <w:r w:rsidR="00925295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2201A">
        <w:rPr>
          <w:rFonts w:asciiTheme="minorHAnsi" w:hAnsiTheme="minorHAnsi" w:cs="Arial"/>
          <w:b w:val="0"/>
          <w:color w:val="0070C0"/>
          <w:sz w:val="24"/>
        </w:rPr>
        <w:t xml:space="preserve">göstergeleri </w:t>
      </w:r>
      <w:r w:rsidR="00B35C86">
        <w:rPr>
          <w:rFonts w:asciiTheme="minorHAnsi" w:hAnsiTheme="minorHAnsi" w:cs="Arial"/>
          <w:b w:val="0"/>
          <w:color w:val="0070C0"/>
          <w:sz w:val="24"/>
        </w:rPr>
        <w:t xml:space="preserve">hem </w:t>
      </w:r>
      <w:r w:rsidR="00A24FAD">
        <w:rPr>
          <w:rFonts w:asciiTheme="minorHAnsi" w:hAnsiTheme="minorHAnsi" w:cs="Arial"/>
          <w:b w:val="0"/>
          <w:color w:val="0070C0"/>
          <w:sz w:val="24"/>
        </w:rPr>
        <w:t>Mayıs 2016’ya hem de Nisan</w:t>
      </w:r>
      <w:r w:rsidR="00B35C86">
        <w:rPr>
          <w:rFonts w:asciiTheme="minorHAnsi" w:hAnsiTheme="minorHAnsi" w:cs="Arial"/>
          <w:b w:val="0"/>
          <w:color w:val="0070C0"/>
          <w:sz w:val="24"/>
        </w:rPr>
        <w:t xml:space="preserve"> 2017’ye göre </w:t>
      </w:r>
      <w:r w:rsidR="0022201A">
        <w:rPr>
          <w:rFonts w:asciiTheme="minorHAnsi" w:hAnsiTheme="minorHAnsi" w:cs="Arial"/>
          <w:b w:val="0"/>
          <w:color w:val="0070C0"/>
          <w:sz w:val="24"/>
        </w:rPr>
        <w:t>azal</w:t>
      </w:r>
      <w:r w:rsidR="00A24FAD">
        <w:rPr>
          <w:rFonts w:asciiTheme="minorHAnsi" w:hAnsiTheme="minorHAnsi" w:cs="Arial"/>
          <w:b w:val="0"/>
          <w:color w:val="0070C0"/>
          <w:sz w:val="24"/>
        </w:rPr>
        <w:t>dı.</w:t>
      </w:r>
      <w:r w:rsidR="00876741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6656F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4480A26D" w14:textId="77777777" w:rsidR="00963B01" w:rsidRPr="003127E7" w:rsidRDefault="00F36C22" w:rsidP="00F36C22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</w:rPr>
      </w:pPr>
      <w:r>
        <w:br/>
      </w:r>
      <w:r w:rsidR="00963B01" w:rsidRPr="003127E7">
        <w:rPr>
          <w:rFonts w:asciiTheme="minorHAnsi" w:hAnsiTheme="minorHAnsi"/>
          <w:b/>
        </w:rPr>
        <w:t>Tablo-</w:t>
      </w:r>
      <w:r w:rsidR="00A52D51">
        <w:rPr>
          <w:rFonts w:asciiTheme="minorHAnsi" w:hAnsiTheme="minorHAnsi"/>
          <w:b/>
        </w:rPr>
        <w:t>4</w:t>
      </w:r>
      <w:r w:rsidR="00963B01" w:rsidRPr="003127E7">
        <w:rPr>
          <w:rFonts w:asciiTheme="minorHAnsi" w:hAnsiTheme="minorHAnsi"/>
          <w:b/>
        </w:rPr>
        <w:t>.</w:t>
      </w:r>
      <w:r w:rsidR="00963B01" w:rsidRPr="003127E7">
        <w:rPr>
          <w:rFonts w:asciiTheme="minorHAnsi" w:hAnsiTheme="minorHAnsi"/>
        </w:rPr>
        <w:t xml:space="preserve"> TEPE soru bazında detaylı sonuçlar</w:t>
      </w:r>
      <w:r w:rsidR="00722E05">
        <w:rPr>
          <w:rFonts w:asciiTheme="minorHAnsi" w:hAnsiTheme="minorHAnsi"/>
        </w:rPr>
        <w:t xml:space="preserve"> </w:t>
      </w:r>
      <w:r w:rsidR="009869E1">
        <w:rPr>
          <w:rFonts w:asciiTheme="minorHAnsi" w:hAnsiTheme="minorHAnsi"/>
        </w:rPr>
        <w:t>(puan</w:t>
      </w:r>
      <w:r w:rsidR="00722E05" w:rsidRPr="003127E7">
        <w:rPr>
          <w:rFonts w:asciiTheme="minorHAnsi" w:hAnsiTheme="minorHAnsi"/>
        </w:rPr>
        <w:t xml:space="preserve">) </w:t>
      </w:r>
    </w:p>
    <w:tbl>
      <w:tblPr>
        <w:tblW w:w="5464" w:type="pct"/>
        <w:tblInd w:w="-4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1134"/>
        <w:gridCol w:w="1133"/>
        <w:gridCol w:w="1135"/>
        <w:gridCol w:w="1559"/>
        <w:gridCol w:w="2117"/>
      </w:tblGrid>
      <w:tr w:rsidR="00F31BC3" w:rsidRPr="00197B4F" w14:paraId="2A14A25A" w14:textId="77777777" w:rsidTr="00A4738A">
        <w:tc>
          <w:tcPr>
            <w:tcW w:w="151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  <w:vAlign w:val="center"/>
          </w:tcPr>
          <w:p w14:paraId="15E406BE" w14:textId="77777777" w:rsidR="00963B01" w:rsidRPr="00F31BC3" w:rsidRDefault="00963B01" w:rsidP="00197B4F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b/>
                <w:szCs w:val="20"/>
              </w:rPr>
              <w:t>Sorular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7E3640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1980C1C0" w14:textId="55363C6D" w:rsidR="00963B01" w:rsidRPr="00197B4F" w:rsidRDefault="00F05DBE" w:rsidP="005C7F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</w:t>
            </w:r>
            <w:r w:rsidR="00A24FAD">
              <w:rPr>
                <w:rFonts w:asciiTheme="minorHAnsi" w:hAnsiTheme="minorHAnsi" w:cs="Arial"/>
                <w:b/>
                <w:szCs w:val="20"/>
              </w:rPr>
              <w:t>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64BB9">
              <w:rPr>
                <w:rFonts w:asciiTheme="minorHAnsi" w:hAnsiTheme="minorHAnsi" w:cs="Arial"/>
                <w:b/>
                <w:szCs w:val="20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7B95A37C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36ADC9DA" w14:textId="2314B5B3" w:rsidR="00963B01" w:rsidRPr="00197B4F" w:rsidRDefault="00A24FAD" w:rsidP="00664B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04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876741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4258923" w14:textId="77777777" w:rsidR="00963B01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>Endeks</w:t>
            </w:r>
          </w:p>
          <w:p w14:paraId="6F0ACE7E" w14:textId="6376FECC" w:rsidR="00963B01" w:rsidRPr="00197B4F" w:rsidRDefault="00A24FAD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64BB9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CA09C41" w14:textId="62534BD9" w:rsidR="00963B01" w:rsidRPr="00197B4F" w:rsidRDefault="00F85EA3" w:rsidP="00C538AC">
            <w:pPr>
              <w:spacing w:after="0" w:line="240" w:lineRule="auto"/>
              <w:ind w:left="3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aya göre değişim </w:t>
            </w:r>
            <w:r w:rsidR="00664BB9">
              <w:rPr>
                <w:rFonts w:asciiTheme="minorHAnsi" w:hAnsiTheme="minorHAnsi" w:cs="Arial"/>
                <w:b/>
                <w:szCs w:val="20"/>
              </w:rPr>
              <w:t>0</w:t>
            </w:r>
            <w:r w:rsidR="00A24FAD">
              <w:rPr>
                <w:rFonts w:asciiTheme="minorHAnsi" w:hAnsiTheme="minorHAnsi" w:cs="Arial"/>
                <w:b/>
                <w:szCs w:val="20"/>
              </w:rPr>
              <w:t>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 w:rsidR="00664BB9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897336C" w14:textId="77777777" w:rsidR="00F51037" w:rsidRPr="00197B4F" w:rsidRDefault="00963B01" w:rsidP="00197B4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97B4F">
              <w:rPr>
                <w:rFonts w:asciiTheme="minorHAnsi" w:hAnsiTheme="minorHAnsi" w:cs="Arial"/>
                <w:b/>
                <w:szCs w:val="20"/>
              </w:rPr>
              <w:t xml:space="preserve">Bir önceki </w:t>
            </w:r>
            <w:r w:rsidR="00F51037" w:rsidRPr="00197B4F">
              <w:rPr>
                <w:rFonts w:asciiTheme="minorHAnsi" w:hAnsiTheme="minorHAnsi" w:cs="Arial"/>
                <w:b/>
                <w:szCs w:val="20"/>
              </w:rPr>
              <w:t>yılın aynı ayına göre değişim</w:t>
            </w:r>
          </w:p>
          <w:p w14:paraId="2B9C667D" w14:textId="620F0AF8" w:rsidR="00963B01" w:rsidRPr="00197B4F" w:rsidRDefault="00664BB9" w:rsidP="00C538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0</w:t>
            </w:r>
            <w:r w:rsidR="00A24FAD">
              <w:rPr>
                <w:rFonts w:asciiTheme="minorHAnsi" w:hAnsiTheme="minorHAnsi" w:cs="Arial"/>
                <w:b/>
                <w:szCs w:val="20"/>
              </w:rPr>
              <w:t>5</w:t>
            </w:r>
            <w:r w:rsidR="00963B01" w:rsidRPr="00197B4F">
              <w:rPr>
                <w:rFonts w:asciiTheme="minorHAnsi" w:hAnsiTheme="minorHAnsi" w:cs="Arial"/>
                <w:b/>
                <w:szCs w:val="20"/>
              </w:rPr>
              <w:t>/201</w:t>
            </w:r>
            <w:r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</w:tr>
      <w:tr w:rsidR="00A24FAD" w:rsidRPr="003127E7" w14:paraId="1133699E" w14:textId="77777777" w:rsidTr="00AD2D0D">
        <w:trPr>
          <w:trHeight w:val="494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4A52179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Geçtiğimiz üç ayda işlerinizin gelişimi ne yönde oldu?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E02036F" w14:textId="5A0DE77D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-39,6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2E4AA97E" w14:textId="7BCEB31E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-54,3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1551D78" w14:textId="67721146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-47,6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83E24" w14:textId="0B32D33A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6,7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954B1BE" w14:textId="5F564A09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-8,0</w:t>
            </w:r>
          </w:p>
        </w:tc>
      </w:tr>
      <w:tr w:rsidR="00A24FAD" w:rsidRPr="003127E7" w14:paraId="434D4894" w14:textId="77777777" w:rsidTr="00AD2D0D">
        <w:trPr>
          <w:trHeight w:val="66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C679096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 xml:space="preserve">Mevcut stok düzeyiniz hakkında ne düşünüyorsunuz? </w:t>
            </w:r>
            <w:r w:rsidRPr="00F31BC3">
              <w:rPr>
                <w:rStyle w:val="DipnotBavurusu"/>
                <w:rFonts w:asciiTheme="minorHAnsi" w:hAnsiTheme="minorHAnsi" w:cs="Arial"/>
                <w:b/>
                <w:szCs w:val="20"/>
              </w:rPr>
              <w:footnoteReference w:id="2"/>
            </w:r>
          </w:p>
        </w:tc>
        <w:tc>
          <w:tcPr>
            <w:tcW w:w="559" w:type="pct"/>
            <w:vAlign w:val="bottom"/>
          </w:tcPr>
          <w:p w14:paraId="2C22C18E" w14:textId="5121F9DA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558" w:type="pct"/>
            <w:vAlign w:val="bottom"/>
          </w:tcPr>
          <w:p w14:paraId="4C683030" w14:textId="4B052662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559" w:type="pct"/>
            <w:vAlign w:val="bottom"/>
          </w:tcPr>
          <w:p w14:paraId="540D85D7" w14:textId="179346FA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9,2</w:t>
            </w:r>
          </w:p>
        </w:tc>
        <w:tc>
          <w:tcPr>
            <w:tcW w:w="768" w:type="pct"/>
            <w:vAlign w:val="bottom"/>
          </w:tcPr>
          <w:p w14:paraId="25D4723B" w14:textId="6091A0BA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-4,9</w:t>
            </w:r>
          </w:p>
        </w:tc>
        <w:tc>
          <w:tcPr>
            <w:tcW w:w="1043" w:type="pct"/>
            <w:vAlign w:val="bottom"/>
          </w:tcPr>
          <w:p w14:paraId="622F1534" w14:textId="703727C1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</w:t>
            </w:r>
          </w:p>
        </w:tc>
      </w:tr>
      <w:tr w:rsidR="00A24FAD" w:rsidRPr="003127E7" w14:paraId="2C9F45D3" w14:textId="77777777" w:rsidTr="00AD2D0D">
        <w:trPr>
          <w:trHeight w:val="997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6E623B2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Tedarikçilerden siparişlerinizin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5F4138B" w14:textId="1E15745E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-8,0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F9E97F5" w14:textId="7242A17D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-26,5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42387163" w14:textId="2FA96715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-24,2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A62C593" w14:textId="6E177173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0A424D61" w14:textId="4BA8F1C1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-16,2</w:t>
            </w:r>
          </w:p>
        </w:tc>
      </w:tr>
      <w:tr w:rsidR="00A24FAD" w:rsidRPr="003127E7" w14:paraId="593D48E2" w14:textId="77777777" w:rsidTr="00AD2D0D">
        <w:trPr>
          <w:trHeight w:val="84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75468358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Satışlarınızın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2D29C30D" w14:textId="1E888CC5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558" w:type="pct"/>
            <w:vAlign w:val="bottom"/>
          </w:tcPr>
          <w:p w14:paraId="362C9BC5" w14:textId="7B336FBE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-15,4</w:t>
            </w:r>
          </w:p>
        </w:tc>
        <w:tc>
          <w:tcPr>
            <w:tcW w:w="559" w:type="pct"/>
            <w:vAlign w:val="bottom"/>
          </w:tcPr>
          <w:p w14:paraId="6860AA6F" w14:textId="2404BAC1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-15,5</w:t>
            </w:r>
          </w:p>
        </w:tc>
        <w:tc>
          <w:tcPr>
            <w:tcW w:w="768" w:type="pct"/>
            <w:vAlign w:val="bottom"/>
          </w:tcPr>
          <w:p w14:paraId="5F77444E" w14:textId="3BD51086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-0,1</w:t>
            </w:r>
          </w:p>
        </w:tc>
        <w:tc>
          <w:tcPr>
            <w:tcW w:w="1043" w:type="pct"/>
            <w:vAlign w:val="bottom"/>
          </w:tcPr>
          <w:p w14:paraId="7D845852" w14:textId="40BA8526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-16,4</w:t>
            </w:r>
          </w:p>
        </w:tc>
      </w:tr>
      <w:tr w:rsidR="00A24FAD" w:rsidRPr="003127E7" w14:paraId="38572E86" w14:textId="77777777" w:rsidTr="00AD2D0D">
        <w:trPr>
          <w:trHeight w:val="1138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1F21F320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F31BC3">
              <w:rPr>
                <w:rFonts w:asciiTheme="minorHAnsi" w:hAnsiTheme="minorHAnsi" w:cs="Arial"/>
                <w:szCs w:val="20"/>
              </w:rPr>
              <w:t>İstihdam ettiğiniz personel sayısının önümüzdeki üç ayda ne yönde değişeceğini düşünüyorsunuz?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7478D11D" w14:textId="2E01EFD6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FB321B" w14:textId="00C48908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14BE174B" w14:textId="6B478EAF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1,4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B9057C9" w14:textId="4A0BFC33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4B84950F" w14:textId="2AF5AA98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-5,8</w:t>
            </w:r>
          </w:p>
        </w:tc>
      </w:tr>
      <w:tr w:rsidR="00A24FAD" w:rsidRPr="003127E7" w14:paraId="5A77BE8C" w14:textId="77777777" w:rsidTr="00AD2D0D">
        <w:trPr>
          <w:trHeight w:val="842"/>
        </w:trPr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03A0AEDD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Satış fiyatlarınızın önümüzdeki üç ayda ne yönde değişeceğini düşünüyorsunuz?</w:t>
            </w:r>
          </w:p>
        </w:tc>
        <w:tc>
          <w:tcPr>
            <w:tcW w:w="559" w:type="pct"/>
            <w:vAlign w:val="bottom"/>
          </w:tcPr>
          <w:p w14:paraId="46610224" w14:textId="75B30A70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22,6</w:t>
            </w:r>
          </w:p>
        </w:tc>
        <w:tc>
          <w:tcPr>
            <w:tcW w:w="558" w:type="pct"/>
            <w:vAlign w:val="bottom"/>
          </w:tcPr>
          <w:p w14:paraId="129BFF37" w14:textId="6E2FA3CD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30,8</w:t>
            </w:r>
          </w:p>
        </w:tc>
        <w:tc>
          <w:tcPr>
            <w:tcW w:w="559" w:type="pct"/>
            <w:vAlign w:val="bottom"/>
          </w:tcPr>
          <w:p w14:paraId="059A962F" w14:textId="3F9B79B0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28,5</w:t>
            </w:r>
          </w:p>
        </w:tc>
        <w:tc>
          <w:tcPr>
            <w:tcW w:w="768" w:type="pct"/>
            <w:vAlign w:val="bottom"/>
          </w:tcPr>
          <w:p w14:paraId="16803B34" w14:textId="483C5D03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-2,3</w:t>
            </w:r>
          </w:p>
        </w:tc>
        <w:tc>
          <w:tcPr>
            <w:tcW w:w="1043" w:type="pct"/>
            <w:vAlign w:val="bottom"/>
          </w:tcPr>
          <w:p w14:paraId="506C0139" w14:textId="13EDB68A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</w:tr>
      <w:tr w:rsidR="00A24FAD" w:rsidRPr="003127E7" w14:paraId="320A3CF8" w14:textId="77777777" w:rsidTr="00AD2D0D">
        <w:trPr>
          <w:trHeight w:val="854"/>
        </w:trPr>
        <w:tc>
          <w:tcPr>
            <w:tcW w:w="1513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3ED5EEB4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İşleriniz geçen yılın aynı dönemine göre bu yıl nasıl gelişti?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033542C" w14:textId="5C9A9397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-27,6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C30DB39" w14:textId="3BC35E92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-38,6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3956FF3C" w14:textId="6752DF01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-39,4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98A7F5B" w14:textId="11D71623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-0,8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144A8BE" w14:textId="516F9BCD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-11,8</w:t>
            </w:r>
          </w:p>
        </w:tc>
      </w:tr>
      <w:tr w:rsidR="00A24FAD" w:rsidRPr="003127E7" w14:paraId="153A4DC7" w14:textId="77777777" w:rsidTr="00AD2D0D">
        <w:tc>
          <w:tcPr>
            <w:tcW w:w="1513" w:type="pct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  <w:noWrap/>
            <w:vAlign w:val="center"/>
          </w:tcPr>
          <w:p w14:paraId="4DD1B58F" w14:textId="77777777" w:rsidR="00A24FAD" w:rsidRPr="00F31BC3" w:rsidRDefault="00A24FAD" w:rsidP="001A4BA1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31BC3">
              <w:rPr>
                <w:rFonts w:asciiTheme="minorHAnsi" w:hAnsiTheme="minorHAnsi" w:cs="Arial"/>
                <w:color w:val="000000"/>
                <w:szCs w:val="20"/>
              </w:rPr>
              <w:t>Mağaza sayınızın gelecek yıl nasıl değişmesini bekliyorsunuz?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012F0306" w14:textId="6C3590E8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11,5</w:t>
            </w:r>
          </w:p>
        </w:tc>
        <w:tc>
          <w:tcPr>
            <w:tcW w:w="558" w:type="pct"/>
            <w:tcBorders>
              <w:bottom w:val="single" w:sz="8" w:space="0" w:color="4BACC6"/>
            </w:tcBorders>
            <w:vAlign w:val="bottom"/>
          </w:tcPr>
          <w:p w14:paraId="0393A904" w14:textId="7FD39A20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559" w:type="pct"/>
            <w:tcBorders>
              <w:bottom w:val="single" w:sz="8" w:space="0" w:color="4BACC6"/>
            </w:tcBorders>
            <w:vAlign w:val="bottom"/>
          </w:tcPr>
          <w:p w14:paraId="52C7BBE5" w14:textId="0DA741B4" w:rsidR="00A24FAD" w:rsidRPr="00A24FAD" w:rsidRDefault="00A24FAD">
            <w:pPr>
              <w:jc w:val="center"/>
              <w:rPr>
                <w:rFonts w:cs="Calibri"/>
                <w:b/>
                <w:color w:val="000000"/>
              </w:rPr>
            </w:pPr>
            <w:r w:rsidRPr="00A24FAD">
              <w:rPr>
                <w:rFonts w:cs="Calibri"/>
                <w:b/>
                <w:color w:val="000000"/>
              </w:rPr>
              <w:t>-0,7</w:t>
            </w:r>
          </w:p>
        </w:tc>
        <w:tc>
          <w:tcPr>
            <w:tcW w:w="768" w:type="pct"/>
            <w:tcBorders>
              <w:bottom w:val="single" w:sz="8" w:space="0" w:color="4BACC6"/>
            </w:tcBorders>
            <w:vAlign w:val="bottom"/>
          </w:tcPr>
          <w:p w14:paraId="5380236E" w14:textId="0FD30B4A" w:rsidR="00A24FAD" w:rsidRDefault="00A24FA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-3,2</w:t>
            </w:r>
          </w:p>
        </w:tc>
        <w:tc>
          <w:tcPr>
            <w:tcW w:w="1043" w:type="pct"/>
            <w:tcBorders>
              <w:bottom w:val="single" w:sz="8" w:space="0" w:color="4BACC6"/>
            </w:tcBorders>
            <w:vAlign w:val="bottom"/>
          </w:tcPr>
          <w:p w14:paraId="75DC0860" w14:textId="6BCA5D72" w:rsidR="00A24FAD" w:rsidRDefault="00FA656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-12,2</w:t>
            </w:r>
          </w:p>
        </w:tc>
      </w:tr>
    </w:tbl>
    <w:p w14:paraId="78C68B5B" w14:textId="77777777" w:rsidR="008866B1" w:rsidRDefault="008866B1" w:rsidP="00201819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</w:p>
    <w:p w14:paraId="73DD0782" w14:textId="5A19E4FE" w:rsidR="00201819" w:rsidRPr="00535C20" w:rsidRDefault="00201819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D603E0">
        <w:rPr>
          <w:rFonts w:asciiTheme="minorHAnsi" w:hAnsiTheme="minorHAnsi" w:cs="Arial"/>
          <w:color w:val="0070C0"/>
          <w:sz w:val="28"/>
        </w:rPr>
        <w:t>AB’de perakende güveni</w:t>
      </w:r>
      <w:r w:rsidR="000E48D8" w:rsidRPr="00D603E0">
        <w:rPr>
          <w:rFonts w:asciiTheme="minorHAnsi" w:hAnsiTheme="minorHAnsi" w:cs="Arial"/>
          <w:color w:val="0070C0"/>
          <w:sz w:val="28"/>
        </w:rPr>
        <w:t xml:space="preserve"> </w:t>
      </w:r>
      <w:r w:rsidR="00FE79D9">
        <w:rPr>
          <w:rFonts w:asciiTheme="minorHAnsi" w:hAnsiTheme="minorHAnsi" w:cs="Arial"/>
          <w:color w:val="0070C0"/>
          <w:sz w:val="28"/>
        </w:rPr>
        <w:t xml:space="preserve">geçen aya kıyasla </w:t>
      </w:r>
      <w:r w:rsidR="00A23CE1">
        <w:rPr>
          <w:rFonts w:asciiTheme="minorHAnsi" w:hAnsiTheme="minorHAnsi" w:cs="Arial"/>
          <w:color w:val="0070C0"/>
          <w:sz w:val="28"/>
        </w:rPr>
        <w:t>azaldı</w:t>
      </w:r>
    </w:p>
    <w:p w14:paraId="01760456" w14:textId="684AED39" w:rsidR="00201819" w:rsidRPr="00591045" w:rsidRDefault="00201819" w:rsidP="00201819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AB-28 Perakende Güven Endeksi, </w:t>
      </w:r>
      <w:r w:rsidR="00A24FAD">
        <w:rPr>
          <w:rFonts w:asciiTheme="minorHAnsi" w:hAnsiTheme="minorHAnsi" w:cs="Arial"/>
          <w:b w:val="0"/>
          <w:color w:val="0070C0"/>
          <w:sz w:val="24"/>
        </w:rPr>
        <w:t>Mayıs</w:t>
      </w:r>
      <w:r w:rsidR="00C44A30">
        <w:rPr>
          <w:rFonts w:asciiTheme="minorHAnsi" w:hAnsiTheme="minorHAnsi" w:cs="Arial"/>
          <w:b w:val="0"/>
          <w:color w:val="0070C0"/>
          <w:sz w:val="24"/>
        </w:rPr>
        <w:t xml:space="preserve"> 2017’de</w:t>
      </w: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24FAD">
        <w:rPr>
          <w:rFonts w:asciiTheme="minorHAnsi" w:hAnsiTheme="minorHAnsi" w:cs="Arial"/>
          <w:b w:val="0"/>
          <w:color w:val="0070C0"/>
          <w:sz w:val="24"/>
        </w:rPr>
        <w:t>3,2</w:t>
      </w:r>
      <w:r w:rsidR="00B775B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F70E96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değerini aldı. AB-28’de </w:t>
      </w:r>
      <w:r w:rsidR="00D62AFB" w:rsidRPr="00535C20">
        <w:rPr>
          <w:rFonts w:asciiTheme="minorHAnsi" w:hAnsiTheme="minorHAnsi" w:cs="Arial"/>
          <w:b w:val="0"/>
          <w:color w:val="0070C0"/>
          <w:sz w:val="24"/>
        </w:rPr>
        <w:t xml:space="preserve">perakende güveni </w:t>
      </w: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bir önceki aya göre </w:t>
      </w:r>
      <w:r w:rsidR="00A24FAD">
        <w:rPr>
          <w:rFonts w:asciiTheme="minorHAnsi" w:hAnsiTheme="minorHAnsi" w:cs="Arial"/>
          <w:b w:val="0"/>
          <w:color w:val="0070C0"/>
          <w:sz w:val="24"/>
        </w:rPr>
        <w:t>1,8</w:t>
      </w:r>
      <w:r w:rsidR="00ED0A7D" w:rsidRPr="00535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535C20">
        <w:rPr>
          <w:rFonts w:asciiTheme="minorHAnsi" w:hAnsiTheme="minorHAnsi" w:cs="Arial"/>
          <w:b w:val="0"/>
          <w:color w:val="0070C0"/>
          <w:sz w:val="24"/>
        </w:rPr>
        <w:t>puan</w:t>
      </w:r>
      <w:r w:rsidR="00A24FAD">
        <w:rPr>
          <w:rFonts w:asciiTheme="minorHAnsi" w:hAnsiTheme="minorHAnsi" w:cs="Arial"/>
          <w:b w:val="0"/>
          <w:color w:val="0070C0"/>
          <w:sz w:val="24"/>
        </w:rPr>
        <w:t xml:space="preserve"> azalırken</w:t>
      </w:r>
      <w:r w:rsidR="00B775B3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Pr="00535C20">
        <w:rPr>
          <w:rFonts w:asciiTheme="minorHAnsi" w:hAnsiTheme="minorHAnsi" w:cs="Arial"/>
          <w:b w:val="0"/>
          <w:color w:val="0070C0"/>
          <w:sz w:val="24"/>
        </w:rPr>
        <w:t>geçe</w:t>
      </w:r>
      <w:r w:rsidR="002A3226" w:rsidRPr="00535C20">
        <w:rPr>
          <w:rFonts w:asciiTheme="minorHAnsi" w:hAnsiTheme="minorHAnsi" w:cs="Arial"/>
          <w:b w:val="0"/>
          <w:color w:val="0070C0"/>
          <w:sz w:val="24"/>
        </w:rPr>
        <w:t xml:space="preserve">n </w:t>
      </w:r>
      <w:r w:rsidR="00F3091F" w:rsidRPr="00535C20">
        <w:rPr>
          <w:rFonts w:asciiTheme="minorHAnsi" w:hAnsiTheme="minorHAnsi" w:cs="Arial"/>
          <w:b w:val="0"/>
          <w:color w:val="0070C0"/>
          <w:sz w:val="24"/>
        </w:rPr>
        <w:t>y</w:t>
      </w:r>
      <w:r w:rsidR="00535C20">
        <w:rPr>
          <w:rFonts w:asciiTheme="minorHAnsi" w:hAnsiTheme="minorHAnsi" w:cs="Arial"/>
          <w:b w:val="0"/>
          <w:color w:val="0070C0"/>
          <w:sz w:val="24"/>
        </w:rPr>
        <w:t xml:space="preserve">ılın aynı dönemine göre </w:t>
      </w:r>
      <w:r w:rsidR="00A24FAD">
        <w:rPr>
          <w:rFonts w:asciiTheme="minorHAnsi" w:hAnsiTheme="minorHAnsi" w:cs="Arial"/>
          <w:b w:val="0"/>
          <w:color w:val="0070C0"/>
          <w:sz w:val="24"/>
        </w:rPr>
        <w:t>0,2</w:t>
      </w:r>
      <w:r w:rsidR="00EC7461" w:rsidRPr="00535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1967F2" w:rsidRPr="00535C20">
        <w:rPr>
          <w:rFonts w:asciiTheme="minorHAnsi" w:hAnsiTheme="minorHAnsi" w:cs="Arial"/>
          <w:b w:val="0"/>
          <w:color w:val="0070C0"/>
          <w:sz w:val="24"/>
        </w:rPr>
        <w:t>puan</w:t>
      </w:r>
      <w:r w:rsidR="000E48D8" w:rsidRPr="00535C20">
        <w:rPr>
          <w:rFonts w:asciiTheme="minorHAnsi" w:hAnsiTheme="minorHAnsi" w:cs="Arial"/>
          <w:b w:val="0"/>
          <w:color w:val="0070C0"/>
          <w:sz w:val="24"/>
        </w:rPr>
        <w:t xml:space="preserve"> a</w:t>
      </w:r>
      <w:r w:rsidR="00B775B3">
        <w:rPr>
          <w:rFonts w:asciiTheme="minorHAnsi" w:hAnsiTheme="minorHAnsi" w:cs="Arial"/>
          <w:b w:val="0"/>
          <w:color w:val="0070C0"/>
          <w:sz w:val="24"/>
        </w:rPr>
        <w:t>rttı</w:t>
      </w: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. </w:t>
      </w:r>
      <w:r w:rsidRPr="00C47999">
        <w:rPr>
          <w:rFonts w:asciiTheme="minorHAnsi" w:hAnsiTheme="minorHAnsi" w:cs="Arial"/>
          <w:b w:val="0"/>
          <w:color w:val="0070C0"/>
          <w:sz w:val="24"/>
        </w:rPr>
        <w:t>Türkiye</w:t>
      </w:r>
      <w:r w:rsidR="00B10276" w:rsidRPr="00C47999">
        <w:rPr>
          <w:rFonts w:asciiTheme="minorHAnsi" w:hAnsiTheme="minorHAnsi" w:cs="Arial"/>
          <w:b w:val="0"/>
          <w:color w:val="0070C0"/>
          <w:sz w:val="24"/>
        </w:rPr>
        <w:t>,</w:t>
      </w:r>
      <w:r w:rsidRPr="00535C2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775B3" w:rsidRPr="00B775B3">
        <w:rPr>
          <w:rFonts w:asciiTheme="minorHAnsi" w:hAnsiTheme="minorHAnsi" w:cs="Arial"/>
          <w:b w:val="0"/>
          <w:color w:val="0070C0"/>
          <w:sz w:val="24"/>
        </w:rPr>
        <w:t xml:space="preserve">geçen yılın aynı dönemine kıyasla </w:t>
      </w:r>
      <w:r w:rsidR="00927B2F">
        <w:rPr>
          <w:rFonts w:asciiTheme="minorHAnsi" w:hAnsiTheme="minorHAnsi" w:cs="Arial"/>
          <w:b w:val="0"/>
          <w:color w:val="0070C0"/>
          <w:sz w:val="24"/>
        </w:rPr>
        <w:t xml:space="preserve">AB-28 ve </w:t>
      </w:r>
      <w:r w:rsidR="00B10276" w:rsidRPr="00535C20">
        <w:rPr>
          <w:rFonts w:asciiTheme="minorHAnsi" w:hAnsiTheme="minorHAnsi" w:cs="Arial"/>
          <w:b w:val="0"/>
          <w:color w:val="0070C0"/>
          <w:sz w:val="24"/>
        </w:rPr>
        <w:t xml:space="preserve">Euro Bölgesi’nden </w:t>
      </w:r>
      <w:r w:rsidR="0012451B">
        <w:rPr>
          <w:rFonts w:asciiTheme="minorHAnsi" w:hAnsiTheme="minorHAnsi" w:cs="Arial"/>
          <w:b w:val="0"/>
          <w:color w:val="0070C0"/>
          <w:sz w:val="24"/>
        </w:rPr>
        <w:t>daha kötü</w:t>
      </w:r>
      <w:r w:rsidR="00A24FAD">
        <w:rPr>
          <w:rFonts w:asciiTheme="minorHAnsi" w:hAnsiTheme="minorHAnsi" w:cs="Arial"/>
          <w:b w:val="0"/>
          <w:color w:val="0070C0"/>
          <w:sz w:val="24"/>
        </w:rPr>
        <w:t>; geçen aya kıyasla ise daha iyi</w:t>
      </w:r>
      <w:r w:rsidR="00B775B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535C20">
        <w:rPr>
          <w:rFonts w:asciiTheme="minorHAnsi" w:hAnsiTheme="minorHAnsi" w:cs="Arial"/>
          <w:b w:val="0"/>
          <w:color w:val="0070C0"/>
          <w:sz w:val="24"/>
        </w:rPr>
        <w:t>performans sergiledi</w:t>
      </w:r>
      <w:r w:rsidRPr="00535C20">
        <w:rPr>
          <w:rFonts w:asciiTheme="minorHAnsi" w:hAnsiTheme="minorHAnsi" w:cs="Arial"/>
          <w:b w:val="0"/>
          <w:color w:val="0070C0"/>
          <w:sz w:val="24"/>
        </w:rPr>
        <w:t>.</w:t>
      </w:r>
      <w:r w:rsidRPr="005824BC">
        <w:rPr>
          <w:rFonts w:asciiTheme="minorHAnsi" w:hAnsiTheme="minorHAnsi" w:cs="Arial"/>
          <w:b w:val="0"/>
          <w:color w:val="0070C0"/>
          <w:sz w:val="24"/>
        </w:rPr>
        <w:t xml:space="preserve"> </w:t>
      </w:r>
    </w:p>
    <w:p w14:paraId="2790FF55" w14:textId="77777777" w:rsidR="003423F7" w:rsidRDefault="003423F7" w:rsidP="003423F7">
      <w:pPr>
        <w:tabs>
          <w:tab w:val="left" w:pos="825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00A01A2E" w14:textId="572198DA" w:rsidR="00535C20" w:rsidRDefault="003423F7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 w:rsidRPr="003E185F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5</w:t>
      </w:r>
      <w:r w:rsidRPr="003E185F">
        <w:rPr>
          <w:rFonts w:asciiTheme="minorHAnsi" w:hAnsiTheme="minorHAnsi"/>
          <w:b/>
        </w:rPr>
        <w:t>.</w:t>
      </w:r>
      <w:r w:rsidRPr="003E185F">
        <w:rPr>
          <w:rFonts w:asciiTheme="minorHAnsi" w:hAnsiTheme="minorHAnsi"/>
        </w:rPr>
        <w:t xml:space="preserve"> TEPE ile AB-2</w:t>
      </w:r>
      <w:r>
        <w:rPr>
          <w:rFonts w:asciiTheme="minorHAnsi" w:hAnsiTheme="minorHAnsi"/>
        </w:rPr>
        <w:t>8</w:t>
      </w:r>
      <w:r w:rsidRPr="003E185F">
        <w:rPr>
          <w:rFonts w:asciiTheme="minorHAnsi" w:hAnsiTheme="minorHAnsi"/>
        </w:rPr>
        <w:t xml:space="preserve"> Perakende Endeksinin karşılaştırılması (</w:t>
      </w:r>
      <w:r w:rsidR="00A24FAD">
        <w:rPr>
          <w:rFonts w:asciiTheme="minorHAnsi" w:hAnsiTheme="minorHAnsi"/>
        </w:rPr>
        <w:t>Mayıs</w:t>
      </w:r>
      <w:r w:rsidR="00F3091F">
        <w:rPr>
          <w:rFonts w:asciiTheme="minorHAnsi" w:hAnsiTheme="minorHAnsi"/>
        </w:rPr>
        <w:t xml:space="preserve"> </w:t>
      </w:r>
      <w:r w:rsidR="00C44A30">
        <w:rPr>
          <w:rFonts w:asciiTheme="minorHAnsi" w:hAnsiTheme="minorHAnsi"/>
        </w:rPr>
        <w:t>2016</w:t>
      </w:r>
      <w:r w:rsidR="00167459">
        <w:rPr>
          <w:rFonts w:asciiTheme="minorHAnsi" w:hAnsiTheme="minorHAnsi"/>
        </w:rPr>
        <w:t xml:space="preserve"> – </w:t>
      </w:r>
      <w:r w:rsidR="00A24FAD">
        <w:rPr>
          <w:rFonts w:asciiTheme="minorHAnsi" w:hAnsiTheme="minorHAnsi"/>
        </w:rPr>
        <w:t>Mayıs</w:t>
      </w:r>
      <w:r w:rsidR="000F7D07">
        <w:rPr>
          <w:rFonts w:asciiTheme="minorHAnsi" w:hAnsiTheme="minorHAnsi"/>
        </w:rPr>
        <w:t xml:space="preserve"> </w:t>
      </w:r>
      <w:r w:rsidR="00C44A30">
        <w:rPr>
          <w:rFonts w:asciiTheme="minorHAnsi" w:hAnsiTheme="minorHAnsi"/>
        </w:rPr>
        <w:t>2017</w:t>
      </w:r>
      <w:r w:rsidRPr="003E185F">
        <w:rPr>
          <w:rFonts w:asciiTheme="minorHAnsi" w:hAnsiTheme="minorHAnsi"/>
        </w:rPr>
        <w:t>)</w:t>
      </w:r>
    </w:p>
    <w:p w14:paraId="1918FB77" w14:textId="6BF05FBB" w:rsidR="00F36ED3" w:rsidRDefault="00A24FAD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7F957760" wp14:editId="60EBFDC8">
            <wp:extent cx="5759450" cy="2584369"/>
            <wp:effectExtent l="0" t="0" r="12700" b="2603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73CE85" w14:textId="77777777" w:rsidR="00CE2BBD" w:rsidRDefault="00CE2BBD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BC6C08C" w14:textId="77777777" w:rsidR="00A32056" w:rsidRDefault="00A3205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42D59AFE" w14:textId="77777777" w:rsidR="009765D5" w:rsidRDefault="009765D5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7A7DDEA" w14:textId="77777777" w:rsidR="00755126" w:rsidRDefault="00755126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1DF9131B" w14:textId="77777777" w:rsidR="003423F7" w:rsidRPr="00A534C3" w:rsidRDefault="00A52D51" w:rsidP="003423F7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Tablo-5</w:t>
      </w:r>
      <w:r w:rsidR="003423F7" w:rsidRPr="004600F3">
        <w:rPr>
          <w:rFonts w:asciiTheme="minorHAnsi" w:hAnsiTheme="minorHAnsi"/>
          <w:b/>
        </w:rPr>
        <w:t>.</w:t>
      </w:r>
      <w:r w:rsidR="003423F7" w:rsidRPr="004600F3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83" w:type="dxa"/>
        <w:jc w:val="center"/>
        <w:tblLook w:val="04A0" w:firstRow="1" w:lastRow="0" w:firstColumn="1" w:lastColumn="0" w:noHBand="0" w:noVBand="1"/>
      </w:tblPr>
      <w:tblGrid>
        <w:gridCol w:w="989"/>
        <w:gridCol w:w="706"/>
        <w:gridCol w:w="769"/>
        <w:gridCol w:w="706"/>
        <w:gridCol w:w="874"/>
        <w:gridCol w:w="769"/>
        <w:gridCol w:w="935"/>
        <w:gridCol w:w="1024"/>
        <w:gridCol w:w="1012"/>
        <w:gridCol w:w="691"/>
        <w:gridCol w:w="692"/>
        <w:gridCol w:w="847"/>
        <w:gridCol w:w="769"/>
      </w:tblGrid>
      <w:tr w:rsidR="003423F7" w:rsidRPr="003127E7" w14:paraId="3322AEC2" w14:textId="77777777" w:rsidTr="00D9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775EB604" w14:textId="77777777" w:rsidR="003423F7" w:rsidRPr="00A534C3" w:rsidRDefault="003423F7" w:rsidP="002028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779B509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769" w:type="dxa"/>
            <w:noWrap/>
            <w:vAlign w:val="center"/>
            <w:hideMark/>
          </w:tcPr>
          <w:p w14:paraId="6322DE3A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6" w:type="dxa"/>
            <w:noWrap/>
            <w:vAlign w:val="center"/>
            <w:hideMark/>
          </w:tcPr>
          <w:p w14:paraId="4BB44D9B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74" w:type="dxa"/>
            <w:noWrap/>
            <w:vAlign w:val="center"/>
            <w:hideMark/>
          </w:tcPr>
          <w:p w14:paraId="5F121AC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769" w:type="dxa"/>
            <w:noWrap/>
            <w:vAlign w:val="center"/>
            <w:hideMark/>
          </w:tcPr>
          <w:p w14:paraId="549A64F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35" w:type="dxa"/>
            <w:noWrap/>
            <w:vAlign w:val="center"/>
            <w:hideMark/>
          </w:tcPr>
          <w:p w14:paraId="421F35D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24" w:type="dxa"/>
            <w:noWrap/>
            <w:vAlign w:val="center"/>
            <w:hideMark/>
          </w:tcPr>
          <w:p w14:paraId="4260323F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12" w:type="dxa"/>
            <w:noWrap/>
            <w:vAlign w:val="center"/>
            <w:hideMark/>
          </w:tcPr>
          <w:p w14:paraId="7F7471E0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691" w:type="dxa"/>
            <w:noWrap/>
            <w:vAlign w:val="center"/>
            <w:hideMark/>
          </w:tcPr>
          <w:p w14:paraId="31419A28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692" w:type="dxa"/>
            <w:noWrap/>
            <w:vAlign w:val="center"/>
            <w:hideMark/>
          </w:tcPr>
          <w:p w14:paraId="3CC3CD11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47" w:type="dxa"/>
            <w:noWrap/>
            <w:vAlign w:val="center"/>
            <w:hideMark/>
          </w:tcPr>
          <w:p w14:paraId="3E9EEB87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769" w:type="dxa"/>
            <w:noWrap/>
            <w:vAlign w:val="center"/>
            <w:hideMark/>
          </w:tcPr>
          <w:p w14:paraId="71BE7886" w14:textId="77777777" w:rsidR="003423F7" w:rsidRPr="00A534C3" w:rsidRDefault="003423F7" w:rsidP="002028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A534C3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A24FAD" w:rsidRPr="00B775B3" w14:paraId="1C81461F" w14:textId="77777777" w:rsidTr="00F3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5497088A" w14:textId="77777777" w:rsidR="00A24FAD" w:rsidRPr="00847C02" w:rsidRDefault="00A24FAD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2015</w:t>
            </w:r>
          </w:p>
        </w:tc>
        <w:tc>
          <w:tcPr>
            <w:tcW w:w="706" w:type="dxa"/>
            <w:noWrap/>
            <w:vAlign w:val="bottom"/>
            <w:hideMark/>
          </w:tcPr>
          <w:p w14:paraId="412F7B96" w14:textId="6F673F8E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1,6</w:t>
            </w:r>
          </w:p>
        </w:tc>
        <w:tc>
          <w:tcPr>
            <w:tcW w:w="769" w:type="dxa"/>
            <w:noWrap/>
            <w:vAlign w:val="bottom"/>
            <w:hideMark/>
          </w:tcPr>
          <w:p w14:paraId="55A50115" w14:textId="3DA5B12F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-0,3</w:t>
            </w:r>
          </w:p>
        </w:tc>
        <w:tc>
          <w:tcPr>
            <w:tcW w:w="706" w:type="dxa"/>
            <w:noWrap/>
            <w:vAlign w:val="bottom"/>
            <w:hideMark/>
          </w:tcPr>
          <w:p w14:paraId="3627696E" w14:textId="2FE405B9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874" w:type="dxa"/>
            <w:noWrap/>
            <w:vAlign w:val="bottom"/>
            <w:hideMark/>
          </w:tcPr>
          <w:p w14:paraId="210482E5" w14:textId="29B624C9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1,8</w:t>
            </w:r>
          </w:p>
        </w:tc>
        <w:tc>
          <w:tcPr>
            <w:tcW w:w="769" w:type="dxa"/>
            <w:noWrap/>
            <w:vAlign w:val="bottom"/>
            <w:hideMark/>
          </w:tcPr>
          <w:p w14:paraId="451E4E2D" w14:textId="6CAF226E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5,3</w:t>
            </w:r>
          </w:p>
        </w:tc>
        <w:tc>
          <w:tcPr>
            <w:tcW w:w="935" w:type="dxa"/>
            <w:noWrap/>
            <w:vAlign w:val="bottom"/>
            <w:hideMark/>
          </w:tcPr>
          <w:p w14:paraId="36A9FD06" w14:textId="54797EAE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1024" w:type="dxa"/>
            <w:noWrap/>
            <w:vAlign w:val="bottom"/>
            <w:hideMark/>
          </w:tcPr>
          <w:p w14:paraId="325C9F81" w14:textId="4763248A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4,0</w:t>
            </w:r>
          </w:p>
        </w:tc>
        <w:tc>
          <w:tcPr>
            <w:tcW w:w="1012" w:type="dxa"/>
            <w:noWrap/>
            <w:vAlign w:val="bottom"/>
            <w:hideMark/>
          </w:tcPr>
          <w:p w14:paraId="265FE6EA" w14:textId="0C877D9B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7,3</w:t>
            </w:r>
          </w:p>
        </w:tc>
        <w:tc>
          <w:tcPr>
            <w:tcW w:w="691" w:type="dxa"/>
            <w:noWrap/>
            <w:vAlign w:val="bottom"/>
            <w:hideMark/>
          </w:tcPr>
          <w:p w14:paraId="482A6AAF" w14:textId="6BBA1E14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9,1</w:t>
            </w:r>
          </w:p>
        </w:tc>
        <w:tc>
          <w:tcPr>
            <w:tcW w:w="692" w:type="dxa"/>
            <w:noWrap/>
            <w:vAlign w:val="bottom"/>
            <w:hideMark/>
          </w:tcPr>
          <w:p w14:paraId="1E4BA6F3" w14:textId="2DBFAD66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9,6</w:t>
            </w:r>
          </w:p>
        </w:tc>
        <w:tc>
          <w:tcPr>
            <w:tcW w:w="847" w:type="dxa"/>
            <w:noWrap/>
            <w:vAlign w:val="bottom"/>
            <w:hideMark/>
          </w:tcPr>
          <w:p w14:paraId="575076EB" w14:textId="201ECF39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8,3</w:t>
            </w:r>
          </w:p>
        </w:tc>
        <w:tc>
          <w:tcPr>
            <w:tcW w:w="769" w:type="dxa"/>
            <w:noWrap/>
            <w:vAlign w:val="bottom"/>
            <w:hideMark/>
          </w:tcPr>
          <w:p w14:paraId="44EEE984" w14:textId="0327F10D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6,0</w:t>
            </w:r>
          </w:p>
        </w:tc>
      </w:tr>
      <w:tr w:rsidR="00A24FAD" w:rsidRPr="003127E7" w14:paraId="037B44C9" w14:textId="77777777" w:rsidTr="00F36A6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266BCC95" w14:textId="77777777" w:rsidR="00A24FAD" w:rsidRDefault="00A24FAD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2016</w:t>
            </w:r>
          </w:p>
        </w:tc>
        <w:tc>
          <w:tcPr>
            <w:tcW w:w="706" w:type="dxa"/>
            <w:noWrap/>
            <w:vAlign w:val="bottom"/>
            <w:hideMark/>
          </w:tcPr>
          <w:p w14:paraId="1094483F" w14:textId="5349A139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769" w:type="dxa"/>
            <w:noWrap/>
            <w:vAlign w:val="bottom"/>
            <w:hideMark/>
          </w:tcPr>
          <w:p w14:paraId="23A463BE" w14:textId="7F9C3BD2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4,4</w:t>
            </w:r>
          </w:p>
        </w:tc>
        <w:tc>
          <w:tcPr>
            <w:tcW w:w="706" w:type="dxa"/>
            <w:noWrap/>
            <w:vAlign w:val="bottom"/>
            <w:hideMark/>
          </w:tcPr>
          <w:p w14:paraId="7493351B" w14:textId="200638E8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4,5</w:t>
            </w:r>
          </w:p>
        </w:tc>
        <w:tc>
          <w:tcPr>
            <w:tcW w:w="874" w:type="dxa"/>
            <w:noWrap/>
            <w:vAlign w:val="bottom"/>
            <w:hideMark/>
          </w:tcPr>
          <w:p w14:paraId="4E6938C8" w14:textId="0BC7B197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769" w:type="dxa"/>
            <w:noWrap/>
            <w:vAlign w:val="bottom"/>
            <w:hideMark/>
          </w:tcPr>
          <w:p w14:paraId="35B420C1" w14:textId="73FD531B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935" w:type="dxa"/>
            <w:noWrap/>
            <w:vAlign w:val="bottom"/>
            <w:hideMark/>
          </w:tcPr>
          <w:p w14:paraId="5A596C9F" w14:textId="7B650094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1,6</w:t>
            </w:r>
          </w:p>
        </w:tc>
        <w:tc>
          <w:tcPr>
            <w:tcW w:w="1024" w:type="dxa"/>
            <w:noWrap/>
            <w:vAlign w:val="bottom"/>
            <w:hideMark/>
          </w:tcPr>
          <w:p w14:paraId="33A8E7CE" w14:textId="24952204" w:rsidR="00A24FAD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012" w:type="dxa"/>
            <w:noWrap/>
            <w:vAlign w:val="bottom"/>
            <w:hideMark/>
          </w:tcPr>
          <w:p w14:paraId="71D18DB8" w14:textId="1BE02EB8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-0,3</w:t>
            </w:r>
          </w:p>
        </w:tc>
        <w:tc>
          <w:tcPr>
            <w:tcW w:w="691" w:type="dxa"/>
            <w:noWrap/>
            <w:vAlign w:val="bottom"/>
            <w:hideMark/>
          </w:tcPr>
          <w:p w14:paraId="0F36BB6A" w14:textId="2B54D93D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  <w:tc>
          <w:tcPr>
            <w:tcW w:w="692" w:type="dxa"/>
            <w:noWrap/>
            <w:vAlign w:val="bottom"/>
            <w:hideMark/>
          </w:tcPr>
          <w:p w14:paraId="41C096D1" w14:textId="41CEC682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847" w:type="dxa"/>
            <w:noWrap/>
            <w:vAlign w:val="bottom"/>
            <w:hideMark/>
          </w:tcPr>
          <w:p w14:paraId="1466AA71" w14:textId="51AE60EE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4,8</w:t>
            </w:r>
          </w:p>
        </w:tc>
        <w:tc>
          <w:tcPr>
            <w:tcW w:w="769" w:type="dxa"/>
            <w:noWrap/>
            <w:vAlign w:val="bottom"/>
            <w:hideMark/>
          </w:tcPr>
          <w:p w14:paraId="41A574B6" w14:textId="30A91229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4,7</w:t>
            </w:r>
          </w:p>
        </w:tc>
      </w:tr>
      <w:tr w:rsidR="00A24FAD" w:rsidRPr="00B775B3" w14:paraId="6CEF2B90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2B0A7E41" w14:textId="77777777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auto"/>
              </w:rPr>
            </w:pPr>
            <w:r w:rsidRPr="00B775B3">
              <w:rPr>
                <w:rFonts w:cs="Calibri"/>
                <w:color w:val="auto"/>
              </w:rPr>
              <w:t>2017</w:t>
            </w:r>
          </w:p>
        </w:tc>
        <w:tc>
          <w:tcPr>
            <w:tcW w:w="706" w:type="dxa"/>
            <w:noWrap/>
            <w:vAlign w:val="bottom"/>
          </w:tcPr>
          <w:p w14:paraId="4C9A5609" w14:textId="76F96F00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2,8</w:t>
            </w:r>
          </w:p>
        </w:tc>
        <w:tc>
          <w:tcPr>
            <w:tcW w:w="769" w:type="dxa"/>
            <w:noWrap/>
            <w:vAlign w:val="bottom"/>
          </w:tcPr>
          <w:p w14:paraId="57E3699D" w14:textId="3D1794F8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3,3</w:t>
            </w:r>
          </w:p>
        </w:tc>
        <w:tc>
          <w:tcPr>
            <w:tcW w:w="706" w:type="dxa"/>
            <w:noWrap/>
            <w:vAlign w:val="bottom"/>
          </w:tcPr>
          <w:p w14:paraId="4A579DC7" w14:textId="3213EA56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874" w:type="dxa"/>
            <w:noWrap/>
            <w:vAlign w:val="bottom"/>
          </w:tcPr>
          <w:p w14:paraId="1E4CAACB" w14:textId="6088FE0D" w:rsidR="00A24FAD" w:rsidRPr="00B775B3" w:rsidRDefault="00A24FAD" w:rsidP="00B775B3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5,0</w:t>
            </w:r>
          </w:p>
        </w:tc>
        <w:tc>
          <w:tcPr>
            <w:tcW w:w="769" w:type="dxa"/>
            <w:noWrap/>
            <w:vAlign w:val="bottom"/>
          </w:tcPr>
          <w:p w14:paraId="7E40FCDE" w14:textId="02871689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935" w:type="dxa"/>
            <w:noWrap/>
            <w:vAlign w:val="bottom"/>
          </w:tcPr>
          <w:p w14:paraId="1E31C9A9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24" w:type="dxa"/>
            <w:noWrap/>
            <w:vAlign w:val="bottom"/>
          </w:tcPr>
          <w:p w14:paraId="7712195B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12" w:type="dxa"/>
            <w:noWrap/>
            <w:vAlign w:val="bottom"/>
          </w:tcPr>
          <w:p w14:paraId="0C63A469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1" w:type="dxa"/>
            <w:noWrap/>
            <w:vAlign w:val="bottom"/>
          </w:tcPr>
          <w:p w14:paraId="65A6F66E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692" w:type="dxa"/>
            <w:noWrap/>
            <w:vAlign w:val="bottom"/>
          </w:tcPr>
          <w:p w14:paraId="5148D332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47" w:type="dxa"/>
            <w:noWrap/>
            <w:vAlign w:val="bottom"/>
          </w:tcPr>
          <w:p w14:paraId="71DAFAF4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14:paraId="78DA6204" w14:textId="77777777" w:rsidR="00A24FAD" w:rsidRPr="00B775B3" w:rsidRDefault="00A24FAD" w:rsidP="00A85C14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2E6713BF" w14:textId="77777777" w:rsidR="003423F7" w:rsidRPr="00B775B3" w:rsidRDefault="003423F7" w:rsidP="00B775B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36D5789" w14:textId="77777777" w:rsidR="003423F7" w:rsidRDefault="003423F7" w:rsidP="00124C33">
      <w:pPr>
        <w:spacing w:after="0"/>
        <w:jc w:val="center"/>
        <w:rPr>
          <w:rFonts w:asciiTheme="minorHAnsi" w:hAnsiTheme="minorHAnsi" w:cs="Arial"/>
        </w:rPr>
      </w:pPr>
    </w:p>
    <w:p w14:paraId="54C3F1BE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7C1DF118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23B71537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41B59D3F" w14:textId="77777777" w:rsidR="003423F7" w:rsidRDefault="003423F7" w:rsidP="003423F7">
      <w:pPr>
        <w:spacing w:after="0"/>
        <w:rPr>
          <w:rFonts w:asciiTheme="minorHAnsi" w:hAnsiTheme="minorHAnsi" w:cs="Arial"/>
        </w:rPr>
      </w:pPr>
    </w:p>
    <w:p w14:paraId="6F5E518D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106B7BFF" w14:textId="77777777" w:rsidR="005C5217" w:rsidRDefault="005C5217" w:rsidP="003423F7">
      <w:pPr>
        <w:spacing w:after="0"/>
        <w:rPr>
          <w:rFonts w:asciiTheme="minorHAnsi" w:hAnsiTheme="minorHAnsi" w:cs="Arial"/>
        </w:rPr>
      </w:pPr>
    </w:p>
    <w:p w14:paraId="06809D2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0F19F83A" w14:textId="77777777" w:rsidR="00FC774F" w:rsidRDefault="00FC774F" w:rsidP="003423F7">
      <w:pPr>
        <w:spacing w:after="0"/>
        <w:rPr>
          <w:rFonts w:asciiTheme="minorHAnsi" w:hAnsiTheme="minorHAnsi" w:cs="Arial"/>
        </w:rPr>
      </w:pPr>
    </w:p>
    <w:p w14:paraId="51FB629E" w14:textId="77777777" w:rsidR="00A23CE1" w:rsidRDefault="00A23CE1" w:rsidP="00A5653C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</w:p>
    <w:p w14:paraId="725483BD" w14:textId="77777777" w:rsidR="00201819" w:rsidRPr="008A467F" w:rsidRDefault="00054192" w:rsidP="00A5653C">
      <w:pPr>
        <w:pStyle w:val="Balk2"/>
        <w:spacing w:before="0"/>
        <w:rPr>
          <w:rFonts w:asciiTheme="minorHAnsi" w:hAnsiTheme="minorHAnsi" w:cs="Arial"/>
          <w:color w:val="0070C0"/>
          <w:sz w:val="28"/>
        </w:rPr>
      </w:pPr>
      <w:r w:rsidRPr="00054192">
        <w:rPr>
          <w:rFonts w:asciiTheme="minorHAnsi" w:hAnsiTheme="minorHAnsi" w:cs="Arial"/>
          <w:color w:val="0070C0"/>
          <w:sz w:val="28"/>
        </w:rPr>
        <w:t>Perakende güveninde Türkiye, AB-28 ve Euro Bölgesi’nden daha kötü performans sergiledi</w:t>
      </w:r>
    </w:p>
    <w:p w14:paraId="2F4ECC1E" w14:textId="5105E779" w:rsidR="000F630D" w:rsidRPr="00351441" w:rsidRDefault="00201819" w:rsidP="00351441">
      <w:pPr>
        <w:pStyle w:val="Balk2"/>
        <w:spacing w:before="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8A467F">
        <w:rPr>
          <w:rFonts w:asciiTheme="minorHAnsi" w:hAnsiTheme="minorHAnsi" w:cs="Arial"/>
          <w:b w:val="0"/>
          <w:color w:val="0070C0"/>
          <w:sz w:val="24"/>
        </w:rPr>
        <w:t>AB-28 ülkeleri ve Türkiye’nin Perakende Güven E</w:t>
      </w:r>
      <w:r w:rsidR="00ED0A7D" w:rsidRPr="008A467F">
        <w:rPr>
          <w:rFonts w:asciiTheme="minorHAnsi" w:hAnsiTheme="minorHAnsi" w:cs="Arial"/>
          <w:b w:val="0"/>
          <w:color w:val="0070C0"/>
          <w:sz w:val="24"/>
        </w:rPr>
        <w:t xml:space="preserve">ndeksi </w:t>
      </w:r>
      <w:r w:rsidR="00103BD0" w:rsidRPr="008A467F">
        <w:rPr>
          <w:rFonts w:asciiTheme="minorHAnsi" w:hAnsiTheme="minorHAnsi" w:cs="Arial"/>
          <w:b w:val="0"/>
          <w:color w:val="0070C0"/>
          <w:sz w:val="24"/>
        </w:rPr>
        <w:t>de</w:t>
      </w:r>
      <w:r w:rsidR="00A32056" w:rsidRPr="008A467F">
        <w:rPr>
          <w:rFonts w:asciiTheme="minorHAnsi" w:hAnsiTheme="minorHAnsi" w:cs="Arial"/>
          <w:b w:val="0"/>
          <w:color w:val="0070C0"/>
          <w:sz w:val="24"/>
        </w:rPr>
        <w:t>ğ</w:t>
      </w:r>
      <w:r w:rsidR="008A467F">
        <w:rPr>
          <w:rFonts w:asciiTheme="minorHAnsi" w:hAnsiTheme="minorHAnsi" w:cs="Arial"/>
          <w:b w:val="0"/>
          <w:color w:val="0070C0"/>
          <w:sz w:val="24"/>
        </w:rPr>
        <w:t xml:space="preserve">erlerine bakıldığında </w:t>
      </w:r>
      <w:r w:rsidR="00A23CE1">
        <w:rPr>
          <w:rFonts w:asciiTheme="minorHAnsi" w:hAnsiTheme="minorHAnsi" w:cs="Arial"/>
          <w:b w:val="0"/>
          <w:color w:val="0070C0"/>
          <w:sz w:val="24"/>
        </w:rPr>
        <w:t>İtalya</w:t>
      </w:r>
      <w:r w:rsidR="0031488B" w:rsidRPr="008A467F">
        <w:rPr>
          <w:rFonts w:asciiTheme="minorHAnsi" w:hAnsiTheme="minorHAnsi" w:cs="Arial"/>
          <w:b w:val="0"/>
          <w:color w:val="0070C0"/>
          <w:sz w:val="24"/>
        </w:rPr>
        <w:t>,</w:t>
      </w:r>
      <w:r w:rsidR="008A467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23CE1">
        <w:rPr>
          <w:rFonts w:asciiTheme="minorHAnsi" w:hAnsiTheme="minorHAnsi" w:cs="Arial"/>
          <w:b w:val="0"/>
          <w:color w:val="0070C0"/>
          <w:sz w:val="24"/>
        </w:rPr>
        <w:t>Mayıs</w:t>
      </w:r>
      <w:r w:rsidR="00B428F0" w:rsidRPr="008A467F">
        <w:rPr>
          <w:rFonts w:asciiTheme="minorHAnsi" w:hAnsiTheme="minorHAnsi" w:cs="Arial"/>
          <w:b w:val="0"/>
          <w:color w:val="0070C0"/>
          <w:sz w:val="24"/>
        </w:rPr>
        <w:t xml:space="preserve"> ayında</w:t>
      </w:r>
      <w:r w:rsidR="0066693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Pr="008A467F">
        <w:rPr>
          <w:rFonts w:asciiTheme="minorHAnsi" w:hAnsiTheme="minorHAnsi" w:cs="Arial"/>
          <w:b w:val="0"/>
          <w:color w:val="0070C0"/>
          <w:sz w:val="24"/>
        </w:rPr>
        <w:t>geçen yıla göre en</w:t>
      </w:r>
      <w:r w:rsidR="00ED0A7D" w:rsidRPr="008A467F">
        <w:rPr>
          <w:rFonts w:asciiTheme="minorHAnsi" w:hAnsiTheme="minorHAnsi" w:cs="Arial"/>
          <w:b w:val="0"/>
          <w:color w:val="0070C0"/>
          <w:sz w:val="24"/>
        </w:rPr>
        <w:t xml:space="preserve"> fazla art</w:t>
      </w:r>
      <w:r w:rsidR="00103BD0" w:rsidRPr="008A467F">
        <w:rPr>
          <w:rFonts w:asciiTheme="minorHAnsi" w:hAnsiTheme="minorHAnsi" w:cs="Arial"/>
          <w:b w:val="0"/>
          <w:color w:val="0070C0"/>
          <w:sz w:val="24"/>
        </w:rPr>
        <w:t>ış</w:t>
      </w:r>
      <w:r w:rsidR="00031E91" w:rsidRPr="008A467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3A6A30">
        <w:rPr>
          <w:rFonts w:asciiTheme="minorHAnsi" w:hAnsiTheme="minorHAnsi" w:cs="Arial"/>
          <w:b w:val="0"/>
          <w:color w:val="0070C0"/>
          <w:sz w:val="24"/>
        </w:rPr>
        <w:t>yaşayan</w:t>
      </w:r>
      <w:r w:rsidR="00031E91" w:rsidRPr="008A467F">
        <w:rPr>
          <w:rFonts w:asciiTheme="minorHAnsi" w:hAnsiTheme="minorHAnsi" w:cs="Arial"/>
          <w:b w:val="0"/>
          <w:color w:val="0070C0"/>
          <w:sz w:val="24"/>
        </w:rPr>
        <w:t xml:space="preserve"> ülke oldu. </w:t>
      </w:r>
      <w:r w:rsidR="00A23CE1">
        <w:rPr>
          <w:rFonts w:asciiTheme="minorHAnsi" w:hAnsiTheme="minorHAnsi" w:cs="Arial"/>
          <w:b w:val="0"/>
          <w:color w:val="0070C0"/>
          <w:sz w:val="24"/>
        </w:rPr>
        <w:t>İtalya</w:t>
      </w:r>
      <w:r w:rsidR="0072647B">
        <w:rPr>
          <w:rFonts w:asciiTheme="minorHAnsi" w:hAnsiTheme="minorHAnsi" w:cs="Arial"/>
          <w:b w:val="0"/>
          <w:color w:val="0070C0"/>
          <w:sz w:val="24"/>
        </w:rPr>
        <w:t>’yı</w:t>
      </w:r>
      <w:r w:rsidR="007C15E3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A22D4">
        <w:rPr>
          <w:rFonts w:asciiTheme="minorHAnsi" w:hAnsiTheme="minorHAnsi" w:cs="Arial"/>
          <w:b w:val="0"/>
          <w:color w:val="0070C0"/>
          <w:sz w:val="24"/>
        </w:rPr>
        <w:t>İngiltere</w:t>
      </w:r>
      <w:r w:rsidR="001E741B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A23CE1">
        <w:rPr>
          <w:rFonts w:asciiTheme="minorHAnsi" w:hAnsiTheme="minorHAnsi" w:cs="Arial"/>
          <w:b w:val="0"/>
          <w:color w:val="0070C0"/>
          <w:sz w:val="24"/>
        </w:rPr>
        <w:t>Güney Kıbrıs Rum Yönetimi</w:t>
      </w:r>
      <w:r w:rsidR="0066693F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A23CE1">
        <w:rPr>
          <w:rFonts w:asciiTheme="minorHAnsi" w:hAnsiTheme="minorHAnsi" w:cs="Arial"/>
          <w:b w:val="0"/>
          <w:color w:val="0070C0"/>
          <w:sz w:val="24"/>
        </w:rPr>
        <w:t>Hollanda</w:t>
      </w:r>
      <w:r w:rsidR="001E741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takip etti.</w:t>
      </w:r>
      <w:r w:rsidR="000F630D" w:rsidRPr="008A467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6802C1" w:rsidRPr="008A467F">
        <w:rPr>
          <w:rFonts w:asciiTheme="minorHAnsi" w:hAnsiTheme="minorHAnsi" w:cs="Arial"/>
          <w:b w:val="0"/>
          <w:color w:val="0070C0"/>
          <w:sz w:val="24"/>
        </w:rPr>
        <w:t xml:space="preserve">Endeks değeri geçen yıla göre en fazla düşen ülkeler ise </w:t>
      </w:r>
      <w:r w:rsidR="008A467F">
        <w:rPr>
          <w:rFonts w:asciiTheme="minorHAnsi" w:hAnsiTheme="minorHAnsi" w:cs="Arial"/>
          <w:b w:val="0"/>
          <w:color w:val="0070C0"/>
          <w:sz w:val="24"/>
        </w:rPr>
        <w:t xml:space="preserve">sırasıyla </w:t>
      </w:r>
      <w:r w:rsidR="00A23CE1">
        <w:rPr>
          <w:rFonts w:asciiTheme="minorHAnsi" w:hAnsiTheme="minorHAnsi" w:cs="Arial"/>
          <w:b w:val="0"/>
          <w:color w:val="0070C0"/>
          <w:sz w:val="24"/>
        </w:rPr>
        <w:t>Avusturya, Danimarka</w:t>
      </w:r>
      <w:r w:rsidR="0066693F">
        <w:rPr>
          <w:rFonts w:asciiTheme="minorHAnsi" w:hAnsiTheme="minorHAnsi" w:cs="Arial"/>
          <w:b w:val="0"/>
          <w:color w:val="0070C0"/>
          <w:sz w:val="24"/>
        </w:rPr>
        <w:t xml:space="preserve"> ve </w:t>
      </w:r>
      <w:r w:rsidR="00BA22D4">
        <w:rPr>
          <w:rFonts w:asciiTheme="minorHAnsi" w:hAnsiTheme="minorHAnsi" w:cs="Arial"/>
          <w:b w:val="0"/>
          <w:color w:val="0070C0"/>
          <w:sz w:val="24"/>
        </w:rPr>
        <w:t>İsveç</w:t>
      </w:r>
      <w:r w:rsidR="0072647B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oldu</w:t>
      </w:r>
      <w:r w:rsidR="005824BC" w:rsidRPr="008A467F">
        <w:rPr>
          <w:rFonts w:asciiTheme="minorHAnsi" w:hAnsiTheme="minorHAnsi" w:cs="Arial"/>
          <w:b w:val="0"/>
          <w:color w:val="0070C0"/>
          <w:sz w:val="24"/>
        </w:rPr>
        <w:t>. Bir önceki aya göre</w:t>
      </w:r>
      <w:r w:rsidR="00FA0611" w:rsidRPr="008A467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32EE0">
        <w:rPr>
          <w:rFonts w:asciiTheme="minorHAnsi" w:hAnsiTheme="minorHAnsi" w:cs="Arial"/>
          <w:b w:val="0"/>
          <w:color w:val="0070C0"/>
          <w:sz w:val="24"/>
        </w:rPr>
        <w:t>en fazla artış</w:t>
      </w:r>
      <w:r w:rsidR="00EC012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23CE1">
        <w:rPr>
          <w:rFonts w:asciiTheme="minorHAnsi" w:hAnsiTheme="minorHAnsi" w:cs="Arial"/>
          <w:b w:val="0"/>
          <w:color w:val="0070C0"/>
          <w:sz w:val="24"/>
        </w:rPr>
        <w:t>Belçika</w:t>
      </w:r>
      <w:r w:rsidR="0072647B">
        <w:rPr>
          <w:rFonts w:asciiTheme="minorHAnsi" w:hAnsiTheme="minorHAnsi" w:cs="Arial"/>
          <w:b w:val="0"/>
          <w:color w:val="0070C0"/>
          <w:sz w:val="24"/>
        </w:rPr>
        <w:t xml:space="preserve">’da </w:t>
      </w:r>
      <w:r w:rsidRPr="008A467F">
        <w:rPr>
          <w:rFonts w:asciiTheme="minorHAnsi" w:hAnsiTheme="minorHAnsi" w:cs="Arial"/>
          <w:b w:val="0"/>
          <w:color w:val="0070C0"/>
          <w:sz w:val="24"/>
        </w:rPr>
        <w:t>yaşandı</w:t>
      </w:r>
      <w:r w:rsidR="007B04EA" w:rsidRPr="008A467F">
        <w:rPr>
          <w:rFonts w:asciiTheme="minorHAnsi" w:hAnsiTheme="minorHAnsi" w:cs="Arial"/>
          <w:b w:val="0"/>
          <w:color w:val="0070C0"/>
          <w:sz w:val="24"/>
        </w:rPr>
        <w:t>. Perakende Güven Endeksi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nde</w:t>
      </w:r>
      <w:r w:rsidR="001E56AC" w:rsidRPr="008A467F">
        <w:rPr>
          <w:rFonts w:asciiTheme="minorHAnsi" w:hAnsiTheme="minorHAnsi" w:cs="Arial"/>
          <w:b w:val="0"/>
          <w:color w:val="0070C0"/>
          <w:sz w:val="24"/>
        </w:rPr>
        <w:t>,</w:t>
      </w:r>
      <w:r w:rsidR="00EC012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23CE1">
        <w:rPr>
          <w:rFonts w:asciiTheme="minorHAnsi" w:hAnsiTheme="minorHAnsi" w:cs="Arial"/>
          <w:b w:val="0"/>
          <w:color w:val="0070C0"/>
          <w:sz w:val="24"/>
        </w:rPr>
        <w:t>Mayıs</w:t>
      </w:r>
      <w:r w:rsidR="00EC0128">
        <w:rPr>
          <w:rFonts w:asciiTheme="minorHAnsi" w:hAnsiTheme="minorHAnsi" w:cs="Arial"/>
          <w:b w:val="0"/>
          <w:color w:val="0070C0"/>
          <w:sz w:val="24"/>
        </w:rPr>
        <w:t xml:space="preserve"> 2016’ya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 xml:space="preserve"> göre </w:t>
      </w:r>
      <w:r w:rsidR="00BA22D4">
        <w:rPr>
          <w:rFonts w:asciiTheme="minorHAnsi" w:hAnsiTheme="minorHAnsi" w:cs="Arial"/>
          <w:b w:val="0"/>
          <w:color w:val="0070C0"/>
          <w:sz w:val="24"/>
        </w:rPr>
        <w:t xml:space="preserve">değişim </w:t>
      </w:r>
      <w:r w:rsidR="00BA22D4" w:rsidRPr="00BA22D4">
        <w:rPr>
          <w:rFonts w:asciiTheme="minorHAnsi" w:hAnsiTheme="minorHAnsi" w:cs="Arial"/>
          <w:b w:val="0"/>
          <w:color w:val="0070C0"/>
          <w:sz w:val="24"/>
        </w:rPr>
        <w:t xml:space="preserve">AB-28’de </w:t>
      </w:r>
      <w:r w:rsidR="00A23CE1">
        <w:rPr>
          <w:rFonts w:asciiTheme="minorHAnsi" w:hAnsiTheme="minorHAnsi" w:cs="Arial"/>
          <w:b w:val="0"/>
          <w:color w:val="0070C0"/>
          <w:sz w:val="24"/>
        </w:rPr>
        <w:t>0,2</w:t>
      </w:r>
      <w:r w:rsidR="00BA22D4" w:rsidRPr="00BA22D4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 w:rsidR="00BA22D4">
        <w:rPr>
          <w:rFonts w:asciiTheme="minorHAnsi" w:hAnsiTheme="minorHAnsi" w:cs="Arial"/>
          <w:b w:val="0"/>
          <w:color w:val="0070C0"/>
          <w:sz w:val="24"/>
        </w:rPr>
        <w:t>,</w:t>
      </w:r>
      <w:r w:rsidR="00BA22D4" w:rsidRPr="00BA22D4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57AC8">
        <w:rPr>
          <w:rFonts w:asciiTheme="minorHAnsi" w:hAnsiTheme="minorHAnsi" w:cs="Arial"/>
          <w:b w:val="0"/>
          <w:color w:val="0070C0"/>
          <w:sz w:val="24"/>
        </w:rPr>
        <w:t xml:space="preserve">Euro Bölgesi’nde </w:t>
      </w:r>
      <w:r w:rsidR="00A23CE1">
        <w:rPr>
          <w:rFonts w:asciiTheme="minorHAnsi" w:hAnsiTheme="minorHAnsi" w:cs="Arial"/>
          <w:b w:val="0"/>
          <w:color w:val="0070C0"/>
          <w:sz w:val="24"/>
        </w:rPr>
        <w:t>-1,3</w:t>
      </w:r>
      <w:r w:rsidR="00BA22D4">
        <w:rPr>
          <w:rFonts w:asciiTheme="minorHAnsi" w:hAnsiTheme="minorHAnsi" w:cs="Arial"/>
          <w:b w:val="0"/>
          <w:color w:val="0070C0"/>
          <w:sz w:val="24"/>
        </w:rPr>
        <w:t xml:space="preserve"> puan oldu.</w:t>
      </w:r>
      <w:r w:rsidR="00207C4F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A23CE1">
        <w:rPr>
          <w:rFonts w:asciiTheme="minorHAnsi" w:hAnsiTheme="minorHAnsi" w:cs="Arial"/>
          <w:b w:val="0"/>
          <w:color w:val="0070C0"/>
          <w:sz w:val="24"/>
        </w:rPr>
        <w:t>Nisan</w:t>
      </w:r>
      <w:r w:rsidR="00BA22D4">
        <w:rPr>
          <w:rFonts w:asciiTheme="minorHAnsi" w:hAnsiTheme="minorHAnsi" w:cs="Arial"/>
          <w:b w:val="0"/>
          <w:color w:val="0070C0"/>
          <w:sz w:val="24"/>
        </w:rPr>
        <w:t xml:space="preserve"> 2017’ye</w:t>
      </w:r>
      <w:r w:rsidR="0045761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göre değ</w:t>
      </w:r>
      <w:r w:rsidR="000C1012" w:rsidRPr="008A467F">
        <w:rPr>
          <w:rFonts w:asciiTheme="minorHAnsi" w:hAnsiTheme="minorHAnsi" w:cs="Arial"/>
          <w:b w:val="0"/>
          <w:color w:val="0070C0"/>
          <w:sz w:val="24"/>
        </w:rPr>
        <w:t>işim inc</w:t>
      </w:r>
      <w:r w:rsidR="007C15E3">
        <w:rPr>
          <w:rFonts w:asciiTheme="minorHAnsi" w:hAnsiTheme="minorHAnsi" w:cs="Arial"/>
          <w:b w:val="0"/>
          <w:color w:val="0070C0"/>
          <w:sz w:val="24"/>
        </w:rPr>
        <w:t xml:space="preserve">elendiğinde ise </w:t>
      </w:r>
      <w:r w:rsidR="00457618">
        <w:rPr>
          <w:rFonts w:asciiTheme="minorHAnsi" w:hAnsiTheme="minorHAnsi" w:cs="Arial"/>
          <w:b w:val="0"/>
          <w:color w:val="0070C0"/>
          <w:sz w:val="24"/>
        </w:rPr>
        <w:t>Türkiye’nin</w:t>
      </w:r>
      <w:r w:rsidR="003509FC">
        <w:rPr>
          <w:rFonts w:asciiTheme="minorHAnsi" w:hAnsiTheme="minorHAnsi" w:cs="Arial"/>
          <w:b w:val="0"/>
          <w:color w:val="0070C0"/>
          <w:sz w:val="24"/>
        </w:rPr>
        <w:t>,</w:t>
      </w:r>
      <w:r w:rsidR="0045761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C15E3">
        <w:rPr>
          <w:rFonts w:asciiTheme="minorHAnsi" w:hAnsiTheme="minorHAnsi" w:cs="Arial"/>
          <w:b w:val="0"/>
          <w:color w:val="0070C0"/>
          <w:sz w:val="24"/>
        </w:rPr>
        <w:t xml:space="preserve">AB-28 </w:t>
      </w:r>
      <w:r w:rsidR="0063412E">
        <w:rPr>
          <w:rFonts w:asciiTheme="minorHAnsi" w:hAnsiTheme="minorHAnsi" w:cs="Arial"/>
          <w:b w:val="0"/>
          <w:color w:val="0070C0"/>
          <w:sz w:val="24"/>
        </w:rPr>
        <w:t>ve Euro Bölgesi ortalamasından</w:t>
      </w:r>
      <w:r w:rsidR="00457618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da</w:t>
      </w:r>
      <w:r w:rsidR="006802C1" w:rsidRPr="008A467F">
        <w:rPr>
          <w:rFonts w:asciiTheme="minorHAnsi" w:hAnsiTheme="minorHAnsi" w:cs="Arial"/>
          <w:b w:val="0"/>
          <w:color w:val="0070C0"/>
          <w:sz w:val="24"/>
        </w:rPr>
        <w:t>h</w:t>
      </w:r>
      <w:r w:rsidR="00457618">
        <w:rPr>
          <w:rFonts w:asciiTheme="minorHAnsi" w:hAnsiTheme="minorHAnsi" w:cs="Arial"/>
          <w:b w:val="0"/>
          <w:color w:val="0070C0"/>
          <w:sz w:val="24"/>
        </w:rPr>
        <w:t xml:space="preserve">a </w:t>
      </w:r>
      <w:r w:rsidR="001F20D3">
        <w:rPr>
          <w:rFonts w:asciiTheme="minorHAnsi" w:hAnsiTheme="minorHAnsi" w:cs="Arial"/>
          <w:b w:val="0"/>
          <w:color w:val="0070C0"/>
          <w:sz w:val="24"/>
        </w:rPr>
        <w:t xml:space="preserve">iyi </w:t>
      </w:r>
      <w:r w:rsidR="00B10276" w:rsidRPr="008A467F">
        <w:rPr>
          <w:rFonts w:asciiTheme="minorHAnsi" w:hAnsiTheme="minorHAnsi" w:cs="Arial"/>
          <w:b w:val="0"/>
          <w:color w:val="0070C0"/>
          <w:sz w:val="24"/>
        </w:rPr>
        <w:t>performans sergilediği görüldü.</w:t>
      </w:r>
    </w:p>
    <w:p w14:paraId="7CF96872" w14:textId="3AC61966" w:rsidR="003423F7" w:rsidRDefault="00A52D51" w:rsidP="00351441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Tablo-6</w:t>
      </w:r>
      <w:r w:rsidR="003423F7" w:rsidRPr="00FE7648">
        <w:rPr>
          <w:rFonts w:asciiTheme="minorHAnsi" w:hAnsiTheme="minorHAnsi"/>
          <w:b/>
        </w:rPr>
        <w:t>.</w:t>
      </w:r>
      <w:r w:rsidR="003423F7" w:rsidRPr="00FE7648">
        <w:rPr>
          <w:rFonts w:asciiTheme="minorHAnsi" w:hAnsiTheme="minorHAnsi"/>
        </w:rPr>
        <w:t xml:space="preserve"> AB-2</w:t>
      </w:r>
      <w:r w:rsidR="003423F7">
        <w:rPr>
          <w:rFonts w:asciiTheme="minorHAnsi" w:hAnsiTheme="minorHAnsi"/>
        </w:rPr>
        <w:t>8</w:t>
      </w:r>
      <w:r w:rsidR="003423F7" w:rsidRPr="00FE7648">
        <w:rPr>
          <w:rFonts w:asciiTheme="minorHAnsi" w:hAnsiTheme="minorHAnsi"/>
        </w:rPr>
        <w:t xml:space="preserve"> Ülkeleri ve Türkiye’nin Perakende Güven Endeksi karşılaştırmaları (</w:t>
      </w:r>
      <w:r w:rsidR="00A23CE1">
        <w:rPr>
          <w:rFonts w:asciiTheme="minorHAnsi" w:hAnsiTheme="minorHAnsi"/>
        </w:rPr>
        <w:t>Mayıs</w:t>
      </w:r>
      <w:r w:rsidR="00065C6C">
        <w:rPr>
          <w:rFonts w:asciiTheme="minorHAnsi" w:hAnsiTheme="minorHAnsi"/>
        </w:rPr>
        <w:t xml:space="preserve"> </w:t>
      </w:r>
      <w:r w:rsidR="00EC0128">
        <w:rPr>
          <w:rFonts w:asciiTheme="minorHAnsi" w:hAnsiTheme="minorHAnsi"/>
        </w:rPr>
        <w:t>2016</w:t>
      </w:r>
      <w:r w:rsidR="008C07C8">
        <w:rPr>
          <w:rFonts w:asciiTheme="minorHAnsi" w:hAnsiTheme="minorHAnsi"/>
        </w:rPr>
        <w:t xml:space="preserve"> ve </w:t>
      </w:r>
      <w:r w:rsidR="00A23CE1">
        <w:rPr>
          <w:rFonts w:asciiTheme="minorHAnsi" w:hAnsiTheme="minorHAnsi"/>
        </w:rPr>
        <w:t>Nisan</w:t>
      </w:r>
      <w:r w:rsidR="0066693F">
        <w:rPr>
          <w:rFonts w:asciiTheme="minorHAnsi" w:hAnsiTheme="minorHAnsi"/>
        </w:rPr>
        <w:t xml:space="preserve"> </w:t>
      </w:r>
      <w:r w:rsidR="00E566A0">
        <w:rPr>
          <w:rFonts w:asciiTheme="minorHAnsi" w:hAnsiTheme="minorHAnsi"/>
        </w:rPr>
        <w:t>2017</w:t>
      </w:r>
      <w:r w:rsidR="003423F7" w:rsidRPr="00FE7648">
        <w:rPr>
          <w:rFonts w:asciiTheme="minorHAnsi" w:hAnsiTheme="minorHAnsi"/>
        </w:rPr>
        <w:t>’</w:t>
      </w:r>
      <w:r w:rsidR="00D13D94">
        <w:rPr>
          <w:rFonts w:asciiTheme="minorHAnsi" w:hAnsiTheme="minorHAnsi"/>
        </w:rPr>
        <w:t>y</w:t>
      </w:r>
      <w:r w:rsidR="00E566A0">
        <w:rPr>
          <w:rFonts w:asciiTheme="minorHAnsi" w:hAnsiTheme="minorHAnsi"/>
        </w:rPr>
        <w:t>e</w:t>
      </w:r>
      <w:r w:rsidR="003423F7" w:rsidRPr="00FE7648">
        <w:rPr>
          <w:rFonts w:asciiTheme="minorHAnsi" w:hAnsiTheme="minorHAnsi"/>
        </w:rPr>
        <w:t xml:space="preserve"> göre) </w:t>
      </w: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122"/>
      </w:tblGrid>
      <w:tr w:rsidR="002A6100" w:rsidRPr="002A6100" w14:paraId="51978344" w14:textId="77777777" w:rsidTr="0031488B">
        <w:trPr>
          <w:trHeight w:val="66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728DD8C" w14:textId="77777777" w:rsidR="002A6100" w:rsidRPr="002A6100" w:rsidRDefault="002A6100" w:rsidP="002A61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2A6100">
              <w:rPr>
                <w:rFonts w:eastAsia="Times New Roman"/>
                <w:b/>
                <w:bCs/>
                <w:color w:val="FFFFFF"/>
                <w:lang w:eastAsia="tr-TR"/>
              </w:rPr>
              <w:t>Ülkeler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45C7E859" w14:textId="28862024" w:rsidR="002A6100" w:rsidRPr="002A6100" w:rsidRDefault="00A23CE1" w:rsidP="002A61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lang w:eastAsia="tr-TR"/>
              </w:rPr>
              <w:t>Mayıs</w:t>
            </w:r>
            <w:r w:rsidR="00855B1C">
              <w:rPr>
                <w:rFonts w:eastAsia="Times New Roman"/>
                <w:b/>
                <w:bCs/>
                <w:color w:val="FFFFFF"/>
                <w:lang w:eastAsia="tr-TR"/>
              </w:rPr>
              <w:t xml:space="preserve"> </w:t>
            </w:r>
            <w:r w:rsidR="00EC0128">
              <w:rPr>
                <w:rFonts w:eastAsia="Times New Roman"/>
                <w:b/>
                <w:bCs/>
                <w:color w:val="FFFFFF"/>
                <w:lang w:eastAsia="tr-TR"/>
              </w:rPr>
              <w:t>2016’ya</w:t>
            </w:r>
            <w:r w:rsidR="002A6100" w:rsidRPr="002A6100">
              <w:rPr>
                <w:rFonts w:eastAsia="Times New Roman"/>
                <w:b/>
                <w:bCs/>
                <w:color w:val="FFFFFF"/>
                <w:lang w:eastAsia="tr-TR"/>
              </w:rPr>
              <w:t xml:space="preserve"> göre Perakende Güven Endeksi’ndeki Değişim (Puan)**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14:paraId="212989C8" w14:textId="08C32A73" w:rsidR="002A6100" w:rsidRPr="002A6100" w:rsidRDefault="00A23CE1" w:rsidP="002A61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>
              <w:rPr>
                <w:rFonts w:eastAsia="Times New Roman"/>
                <w:b/>
                <w:bCs/>
                <w:color w:val="FFFFFF"/>
                <w:lang w:eastAsia="tr-TR"/>
              </w:rPr>
              <w:t>Nisan</w:t>
            </w:r>
            <w:r w:rsidR="00E566A0">
              <w:rPr>
                <w:rFonts w:eastAsia="Times New Roman"/>
                <w:b/>
                <w:bCs/>
                <w:color w:val="FFFFFF"/>
                <w:lang w:eastAsia="tr-TR"/>
              </w:rPr>
              <w:t xml:space="preserve"> 2017</w:t>
            </w:r>
            <w:r w:rsidR="002A6100" w:rsidRPr="002A6100">
              <w:rPr>
                <w:rFonts w:eastAsia="Times New Roman"/>
                <w:b/>
                <w:bCs/>
                <w:color w:val="FFFFFF"/>
                <w:lang w:eastAsia="tr-TR"/>
              </w:rPr>
              <w:t>’</w:t>
            </w:r>
            <w:r w:rsidR="00E566A0">
              <w:rPr>
                <w:rFonts w:eastAsia="Times New Roman"/>
                <w:b/>
                <w:bCs/>
                <w:color w:val="FFFFFF"/>
                <w:lang w:eastAsia="tr-TR"/>
              </w:rPr>
              <w:t>ye</w:t>
            </w:r>
            <w:r w:rsidR="002A6100" w:rsidRPr="002A6100">
              <w:rPr>
                <w:rFonts w:eastAsia="Times New Roman"/>
                <w:b/>
                <w:bCs/>
                <w:color w:val="FFFFFF"/>
                <w:lang w:eastAsia="tr-TR"/>
              </w:rPr>
              <w:t xml:space="preserve"> göre Perakende Güven Endeksi’ndeki Değişim (Puan)</w:t>
            </w:r>
          </w:p>
        </w:tc>
      </w:tr>
      <w:tr w:rsidR="00A23CE1" w:rsidRPr="002A6100" w14:paraId="54C7F0C0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C9397BA" w14:textId="1EC5B186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İtalya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530941D" w14:textId="21382844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9,0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3AED256" w14:textId="026D703B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1,0</w:t>
            </w:r>
          </w:p>
        </w:tc>
      </w:tr>
      <w:tr w:rsidR="00A23CE1" w:rsidRPr="002A6100" w14:paraId="0060D5E3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56BE8D8" w14:textId="3B772B66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İngiltere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67D059F1" w14:textId="65C8C916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8,3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3F176A96" w14:textId="62D74A73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-4,9</w:t>
            </w:r>
          </w:p>
        </w:tc>
      </w:tr>
      <w:tr w:rsidR="00A23CE1" w:rsidRPr="002A6100" w14:paraId="2D22580D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DFA0D54" w14:textId="78500879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Güney Kıbrıs Rum Yönetimi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CDE1B46" w14:textId="3161FCF9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7,2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FC9006F" w14:textId="1732AF68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0,4</w:t>
            </w:r>
          </w:p>
        </w:tc>
      </w:tr>
      <w:tr w:rsidR="00A23CE1" w:rsidRPr="002A6100" w14:paraId="68DB1321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998A744" w14:textId="0E7FDF2F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Hollanda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055AC8E" w14:textId="5AA1BC9A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4,7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1C976B0" w14:textId="09CD586F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0,8</w:t>
            </w:r>
          </w:p>
        </w:tc>
      </w:tr>
      <w:tr w:rsidR="00A23CE1" w:rsidRPr="002A6100" w14:paraId="4B2FA049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779C6FC" w14:textId="25C650CD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Polonya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5D37DE6" w14:textId="44167DF9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3,2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D91BDEB" w14:textId="2DEB8775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0437">
              <w:t>-2,5</w:t>
            </w:r>
          </w:p>
        </w:tc>
      </w:tr>
      <w:tr w:rsidR="00A23CE1" w:rsidRPr="002A6100" w14:paraId="3296D8FC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D24E808" w14:textId="7218EC35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Finlandiya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0BE6811B" w14:textId="412A99C0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24F3A893" w14:textId="1A593531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-7,9</w:t>
            </w:r>
          </w:p>
        </w:tc>
      </w:tr>
      <w:tr w:rsidR="00A23CE1" w:rsidRPr="002A6100" w14:paraId="1DCA1D3F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600EFD42" w14:textId="6B5A557E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Romanya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A16B248" w14:textId="038EA190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3C23DD0" w14:textId="11D8BC40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-1,3</w:t>
            </w:r>
          </w:p>
        </w:tc>
      </w:tr>
      <w:tr w:rsidR="00A23CE1" w:rsidRPr="002A6100" w14:paraId="058EFA5E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6DD0B4B4" w14:textId="42BA99CC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Slovakya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AB14DC8" w14:textId="0BAB09F1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F01DD2D" w14:textId="3BA92C6E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-0,1</w:t>
            </w:r>
          </w:p>
        </w:tc>
      </w:tr>
      <w:tr w:rsidR="00A23CE1" w:rsidRPr="002A6100" w14:paraId="1AFB7313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92794BB" w14:textId="641A558B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Portekiz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E81A6B1" w14:textId="6150B0A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EE4CF8F" w14:textId="6F96CE5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0,0</w:t>
            </w:r>
          </w:p>
        </w:tc>
      </w:tr>
      <w:tr w:rsidR="00A23CE1" w:rsidRPr="002A6100" w14:paraId="59942C9B" w14:textId="77777777" w:rsidTr="00502FBE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3B7A5660" w14:textId="0777A6BF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</w:rPr>
              <w:t>Estonya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F507CBC" w14:textId="1444A284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0,9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2DCE2CA9" w14:textId="281B4D1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2,3</w:t>
            </w:r>
          </w:p>
        </w:tc>
      </w:tr>
      <w:tr w:rsidR="00A23CE1" w:rsidRPr="002A6100" w14:paraId="6EA6F849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4800EA7" w14:textId="3A6A1CFD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AB-28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FBED610" w14:textId="13E6EC61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0,2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72702E6" w14:textId="1D07103E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-1,8</w:t>
            </w:r>
          </w:p>
        </w:tc>
      </w:tr>
      <w:tr w:rsidR="00A23CE1" w:rsidRPr="002A6100" w14:paraId="177A21F4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68FF458" w14:textId="3306ED8C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</w:rPr>
              <w:t>Çek Cumhuriyeti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2B9D9622" w14:textId="2BD3D13A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0,0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79558BD" w14:textId="780E6ED7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-2,2</w:t>
            </w:r>
          </w:p>
        </w:tc>
      </w:tr>
      <w:tr w:rsidR="00A23CE1" w:rsidRPr="002A6100" w14:paraId="5E5F00A7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43755892" w14:textId="5CBF26F7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Hırvatistan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7D3A518" w14:textId="2C46AB1F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-0,5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D714B34" w14:textId="2E1F927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-2,4</w:t>
            </w:r>
          </w:p>
        </w:tc>
      </w:tr>
      <w:tr w:rsidR="00A23CE1" w:rsidRPr="002A6100" w14:paraId="34D413AB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DA8DCAF" w14:textId="0C43912B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Euro Bölgesi-19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227137E" w14:textId="1724C43D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-1,3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023B498" w14:textId="788912AD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-1,1</w:t>
            </w:r>
          </w:p>
        </w:tc>
      </w:tr>
      <w:tr w:rsidR="00A23CE1" w:rsidRPr="002A6100" w14:paraId="2D5985E6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470368E7" w14:textId="3D9E71BB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Slovenya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68DC4154" w14:textId="027DE895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64C3246E" w14:textId="335040D8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-2,8</w:t>
            </w:r>
          </w:p>
        </w:tc>
      </w:tr>
      <w:tr w:rsidR="00A23CE1" w:rsidRPr="002A6100" w14:paraId="2DA0A583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E729EA5" w14:textId="28D47876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Bulgaristan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6E3D14D4" w14:textId="7A1E171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-2,6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3854F0A4" w14:textId="6F69A1FA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1,2</w:t>
            </w:r>
          </w:p>
        </w:tc>
      </w:tr>
      <w:tr w:rsidR="00A23CE1" w:rsidRPr="002A6100" w14:paraId="3685BBE8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6FA5594" w14:textId="4277E9FB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Fransa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4CB1D114" w14:textId="0D582D42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-2,9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CAEBC96" w14:textId="0ACD061C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1,7</w:t>
            </w:r>
          </w:p>
        </w:tc>
      </w:tr>
      <w:tr w:rsidR="00A23CE1" w:rsidRPr="002A6100" w14:paraId="1B43FEE3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3867EF5" w14:textId="76701E6F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İspanya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9C16861" w14:textId="464C865B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-3,2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2BCE0FE1" w14:textId="00CB1878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-0,5</w:t>
            </w:r>
          </w:p>
        </w:tc>
      </w:tr>
      <w:tr w:rsidR="00A23CE1" w:rsidRPr="002A6100" w14:paraId="0573A77C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A95FD45" w14:textId="0A766B0B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Yunanistan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721F964" w14:textId="7BF5485B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-3,6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D692315" w14:textId="0BE5BBB7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-1,5</w:t>
            </w:r>
          </w:p>
        </w:tc>
      </w:tr>
      <w:tr w:rsidR="00A23CE1" w:rsidRPr="002A6100" w14:paraId="3F8E4CDE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0ED0522" w14:textId="075F25E3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Letonya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FEAAEF5" w14:textId="683D371A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-4,5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946E364" w14:textId="0F77BEC9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-3,8</w:t>
            </w:r>
          </w:p>
        </w:tc>
      </w:tr>
      <w:tr w:rsidR="00A23CE1" w:rsidRPr="002A6100" w14:paraId="6CEA3E53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127BCCF" w14:textId="7FDECC6E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Belçika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7C833B12" w14:textId="215586A2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-4,6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17E14A1" w14:textId="691AB344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5,2</w:t>
            </w:r>
          </w:p>
        </w:tc>
      </w:tr>
      <w:tr w:rsidR="00A23CE1" w:rsidRPr="002A6100" w14:paraId="7BB4B100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165EE2F" w14:textId="405C1D4E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Almanya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6E6F80F9" w14:textId="28DD1EDE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-5,3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46B3D30F" w14:textId="45F5E2D8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-4,3</w:t>
            </w:r>
          </w:p>
        </w:tc>
      </w:tr>
      <w:tr w:rsidR="00A23CE1" w:rsidRPr="002A6100" w14:paraId="0AE445C6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DF742F0" w14:textId="050C5B27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Malta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71CFC76D" w14:textId="4611A31C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-5,7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4B22A36C" w14:textId="2DAB4F00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-0,3</w:t>
            </w:r>
          </w:p>
        </w:tc>
      </w:tr>
      <w:tr w:rsidR="00A23CE1" w:rsidRPr="002A6100" w14:paraId="26171320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725560BE" w14:textId="20028712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Macaristan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506D527B" w14:textId="1C048FBD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-6,7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0D022376" w14:textId="760B0319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-1,1</w:t>
            </w:r>
          </w:p>
        </w:tc>
      </w:tr>
      <w:tr w:rsidR="00A23CE1" w:rsidRPr="002A6100" w14:paraId="753C93E9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5E458160" w14:textId="1F82D430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Türkiye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B81160B" w14:textId="791303E2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-6,8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237797E" w14:textId="6988FC1F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A23CE1">
              <w:rPr>
                <w:b/>
                <w:color w:val="FF0000"/>
              </w:rPr>
              <w:t>0,6</w:t>
            </w:r>
          </w:p>
        </w:tc>
      </w:tr>
      <w:tr w:rsidR="00A23CE1" w:rsidRPr="002A6100" w14:paraId="5FB3DD70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30035A3D" w14:textId="473D173D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Litvanya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0BA9B519" w14:textId="0DB1612B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-8,6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089538E2" w14:textId="68E97893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-0,9</w:t>
            </w:r>
          </w:p>
        </w:tc>
      </w:tr>
      <w:tr w:rsidR="00A23CE1" w:rsidRPr="002A6100" w14:paraId="4FE842BF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242F964" w14:textId="5FC383F4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İsveç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E6633CA" w14:textId="6AAA1EB3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-8,9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21DDAAA5" w14:textId="1B68AAEC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-1,3</w:t>
            </w:r>
          </w:p>
        </w:tc>
      </w:tr>
      <w:tr w:rsidR="00A23CE1" w:rsidRPr="002A6100" w14:paraId="20F01F42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C558C2E" w14:textId="1971D6CF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 w:rsidRPr="00A23CE1">
              <w:rPr>
                <w:b/>
              </w:rPr>
              <w:t>Danimarka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18EF7EAE" w14:textId="3F4A8A15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-11,9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</w:tcPr>
          <w:p w14:paraId="36DB9501" w14:textId="29A01B07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EE3A08">
              <w:t>-5,3</w:t>
            </w:r>
          </w:p>
        </w:tc>
      </w:tr>
      <w:tr w:rsidR="00A23CE1" w:rsidRPr="002A6100" w14:paraId="15E5768F" w14:textId="77777777" w:rsidTr="00DF4791">
        <w:trPr>
          <w:trHeight w:val="211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36EBDCED" w14:textId="7E399562" w:rsidR="00A23CE1" w:rsidRPr="00A23CE1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23CE1">
              <w:rPr>
                <w:b/>
              </w:rPr>
              <w:t>Avusturya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1187418C" w14:textId="0224D980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-14,7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</w:tcPr>
          <w:p w14:paraId="0CEA5C59" w14:textId="5AB8B194" w:rsidR="00A23CE1" w:rsidRPr="00054192" w:rsidRDefault="00A23CE1" w:rsidP="0005419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E3A08">
              <w:t>-14,2</w:t>
            </w:r>
          </w:p>
        </w:tc>
      </w:tr>
    </w:tbl>
    <w:p w14:paraId="1F021695" w14:textId="1F6E894B" w:rsidR="00494587" w:rsidRPr="00F872CA" w:rsidRDefault="006943C3" w:rsidP="002A6100">
      <w:pPr>
        <w:tabs>
          <w:tab w:val="center" w:pos="4535"/>
        </w:tabs>
        <w:spacing w:after="0" w:line="192" w:lineRule="auto"/>
        <w:rPr>
          <w:rFonts w:asciiTheme="minorHAnsi" w:hAnsiTheme="minorHAnsi" w:cs="Arial"/>
          <w:b/>
          <w:i/>
          <w:sz w:val="18"/>
        </w:rPr>
      </w:pPr>
      <w:r w:rsidRPr="00F872CA">
        <w:rPr>
          <w:rFonts w:asciiTheme="minorHAnsi" w:hAnsiTheme="minorHAnsi" w:cs="Arial"/>
          <w:b/>
          <w:i/>
          <w:sz w:val="18"/>
        </w:rPr>
        <w:t>*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*Sıralama </w:t>
      </w:r>
      <w:r w:rsidR="00603667">
        <w:rPr>
          <w:rFonts w:asciiTheme="minorHAnsi" w:hAnsiTheme="minorHAnsi" w:cs="Arial"/>
          <w:b/>
          <w:i/>
          <w:sz w:val="18"/>
        </w:rPr>
        <w:t xml:space="preserve">Mayıs </w:t>
      </w:r>
      <w:r w:rsidR="00A33B7E">
        <w:rPr>
          <w:rFonts w:asciiTheme="minorHAnsi" w:hAnsiTheme="minorHAnsi" w:cs="Arial"/>
          <w:b/>
          <w:i/>
          <w:sz w:val="18"/>
        </w:rPr>
        <w:t>2016</w:t>
      </w:r>
      <w:r w:rsidR="003423F7" w:rsidRPr="00F872CA">
        <w:rPr>
          <w:rFonts w:asciiTheme="minorHAnsi" w:hAnsiTheme="minorHAnsi" w:cs="Arial"/>
          <w:b/>
          <w:i/>
          <w:sz w:val="18"/>
        </w:rPr>
        <w:t xml:space="preserve"> değişimine göre yapılmıştır.</w:t>
      </w:r>
      <w:r w:rsidR="0021322A" w:rsidRPr="00F872CA">
        <w:rPr>
          <w:rFonts w:asciiTheme="minorHAnsi" w:hAnsiTheme="minorHAnsi" w:cs="Arial"/>
          <w:b/>
          <w:i/>
          <w:sz w:val="18"/>
        </w:rPr>
        <w:tab/>
      </w:r>
    </w:p>
    <w:p w14:paraId="2E29024F" w14:textId="77777777" w:rsidR="008866B1" w:rsidRDefault="008866B1" w:rsidP="00714548">
      <w:pPr>
        <w:pStyle w:val="Balk2"/>
        <w:jc w:val="both"/>
        <w:rPr>
          <w:rFonts w:asciiTheme="minorHAnsi" w:hAnsiTheme="minorHAnsi" w:cs="Arial"/>
          <w:color w:val="0070C0"/>
          <w:sz w:val="28"/>
        </w:rPr>
      </w:pPr>
    </w:p>
    <w:p w14:paraId="764A62AB" w14:textId="27DF2308" w:rsidR="00201819" w:rsidRPr="00732EE0" w:rsidRDefault="005056DC" w:rsidP="009C2B1D">
      <w:pPr>
        <w:pStyle w:val="Balk2"/>
        <w:spacing w:before="0"/>
        <w:jc w:val="both"/>
        <w:rPr>
          <w:rFonts w:asciiTheme="minorHAnsi" w:hAnsiTheme="minorHAnsi" w:cs="Arial"/>
          <w:color w:val="0070C0"/>
          <w:sz w:val="28"/>
        </w:rPr>
      </w:pPr>
      <w:r w:rsidRPr="00732EE0">
        <w:rPr>
          <w:rFonts w:asciiTheme="minorHAnsi" w:hAnsiTheme="minorHAnsi" w:cs="Arial"/>
          <w:color w:val="0070C0"/>
          <w:sz w:val="28"/>
        </w:rPr>
        <w:t>Konya’da</w:t>
      </w:r>
      <w:r w:rsidR="007B04EA" w:rsidRPr="00732EE0">
        <w:rPr>
          <w:rFonts w:asciiTheme="minorHAnsi" w:hAnsiTheme="minorHAnsi" w:cs="Arial"/>
          <w:color w:val="0070C0"/>
          <w:sz w:val="28"/>
        </w:rPr>
        <w:t xml:space="preserve"> </w:t>
      </w:r>
      <w:r w:rsidRPr="00732EE0">
        <w:rPr>
          <w:rFonts w:asciiTheme="minorHAnsi" w:hAnsiTheme="minorHAnsi" w:cs="Arial"/>
          <w:color w:val="0070C0"/>
          <w:sz w:val="28"/>
        </w:rPr>
        <w:t>p</w:t>
      </w:r>
      <w:r w:rsidR="00201819" w:rsidRPr="00732EE0">
        <w:rPr>
          <w:rFonts w:asciiTheme="minorHAnsi" w:hAnsiTheme="minorHAnsi" w:cs="Arial"/>
          <w:color w:val="0070C0"/>
          <w:sz w:val="28"/>
        </w:rPr>
        <w:t>erakende güveni</w:t>
      </w:r>
      <w:r w:rsidR="00143759" w:rsidRPr="00732EE0">
        <w:rPr>
          <w:rFonts w:asciiTheme="minorHAnsi" w:hAnsiTheme="minorHAnsi" w:cs="Arial"/>
          <w:color w:val="0070C0"/>
          <w:sz w:val="28"/>
        </w:rPr>
        <w:t xml:space="preserve"> </w:t>
      </w:r>
      <w:r w:rsidR="005F49AA">
        <w:rPr>
          <w:rFonts w:asciiTheme="minorHAnsi" w:hAnsiTheme="minorHAnsi" w:cs="Arial"/>
          <w:color w:val="0070C0"/>
          <w:sz w:val="28"/>
        </w:rPr>
        <w:t>a</w:t>
      </w:r>
      <w:r w:rsidR="0079362B">
        <w:rPr>
          <w:rFonts w:asciiTheme="minorHAnsi" w:hAnsiTheme="minorHAnsi" w:cs="Arial"/>
          <w:color w:val="0070C0"/>
          <w:sz w:val="28"/>
        </w:rPr>
        <w:t>rttı</w:t>
      </w:r>
    </w:p>
    <w:p w14:paraId="1EB82F63" w14:textId="77777777" w:rsidR="00201819" w:rsidRPr="00A1408B" w:rsidRDefault="00201819" w:rsidP="00201819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 w:rsidRPr="00A1408B">
        <w:rPr>
          <w:rFonts w:asciiTheme="minorHAnsi" w:hAnsiTheme="minorHAnsi" w:cs="Arial"/>
          <w:b w:val="0"/>
          <w:color w:val="0070C0"/>
          <w:sz w:val="24"/>
        </w:rPr>
        <w:t>TEPAV ve Konya Ticaret Odası (KTO) işbirliğinde gerçekleştirilen Konya Perakende Güven Endeksi (KOPE) kapsamında</w:t>
      </w:r>
      <w:r w:rsidR="008C1CC7">
        <w:rPr>
          <w:rFonts w:asciiTheme="minorHAnsi" w:hAnsiTheme="minorHAnsi" w:cs="Arial"/>
          <w:b w:val="0"/>
          <w:color w:val="0070C0"/>
          <w:sz w:val="24"/>
        </w:rPr>
        <w:t>,</w:t>
      </w:r>
      <w:r w:rsidRPr="00A1408B">
        <w:rPr>
          <w:rFonts w:asciiTheme="minorHAnsi" w:hAnsiTheme="minorHAnsi" w:cs="Arial"/>
          <w:b w:val="0"/>
          <w:color w:val="0070C0"/>
          <w:sz w:val="24"/>
        </w:rPr>
        <w:t xml:space="preserve"> Şubat 2012’den bu yana Konya’da faaliyet gösteren 300 perakendeci ile her ay yüz yüze anketler yapılıyor.</w:t>
      </w:r>
    </w:p>
    <w:p w14:paraId="1AFEA6C9" w14:textId="7B8CB1AC" w:rsidR="000C5631" w:rsidRPr="000C5631" w:rsidRDefault="0079362B" w:rsidP="000C5631">
      <w:pPr>
        <w:pStyle w:val="Balk2"/>
        <w:spacing w:before="0" w:after="240"/>
        <w:jc w:val="both"/>
        <w:rPr>
          <w:rFonts w:asciiTheme="minorHAnsi" w:hAnsiTheme="minorHAnsi" w:cs="Arial"/>
          <w:b w:val="0"/>
          <w:color w:val="0070C0"/>
          <w:sz w:val="24"/>
        </w:rPr>
      </w:pP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BE41EA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>ayında TEPE</w:t>
      </w:r>
      <w:r w:rsidR="0031488B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85562E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821897">
        <w:rPr>
          <w:rFonts w:asciiTheme="minorHAnsi" w:hAnsiTheme="minorHAnsi" w:cs="Arial"/>
          <w:b w:val="0"/>
          <w:color w:val="0070C0"/>
          <w:sz w:val="24"/>
        </w:rPr>
        <w:t>-</w:t>
      </w:r>
      <w:r>
        <w:rPr>
          <w:rFonts w:asciiTheme="minorHAnsi" w:hAnsiTheme="minorHAnsi" w:cs="Arial"/>
          <w:b w:val="0"/>
          <w:color w:val="0070C0"/>
          <w:sz w:val="24"/>
        </w:rPr>
        <w:t>18,0</w:t>
      </w:r>
      <w:r w:rsidR="00FA0611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değerini alırken KOPE </w:t>
      </w:r>
      <w:r>
        <w:rPr>
          <w:rFonts w:asciiTheme="minorHAnsi" w:hAnsiTheme="minorHAnsi" w:cs="Arial"/>
          <w:b w:val="0"/>
          <w:color w:val="0070C0"/>
          <w:sz w:val="24"/>
        </w:rPr>
        <w:t>1,2</w:t>
      </w:r>
      <w:r w:rsid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7B5C93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>değerini aldı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KOPE, geçen yılın aynı dönemine göre </w:t>
      </w:r>
      <w:r>
        <w:rPr>
          <w:rFonts w:asciiTheme="minorHAnsi" w:hAnsiTheme="minorHAnsi" w:cs="Arial"/>
          <w:b w:val="0"/>
          <w:color w:val="0070C0"/>
          <w:sz w:val="24"/>
        </w:rPr>
        <w:t>3,4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 xml:space="preserve"> puan</w:t>
      </w:r>
      <w:r>
        <w:rPr>
          <w:rFonts w:asciiTheme="minorHAnsi" w:hAnsiTheme="minorHAnsi" w:cs="Arial"/>
          <w:b w:val="0"/>
          <w:color w:val="0070C0"/>
          <w:sz w:val="24"/>
        </w:rPr>
        <w:t xml:space="preserve"> artarken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,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>TEPE</w:t>
      </w:r>
      <w:r w:rsidR="001967F2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>
        <w:rPr>
          <w:rFonts w:asciiTheme="minorHAnsi" w:hAnsiTheme="minorHAnsi" w:cs="Arial"/>
          <w:b w:val="0"/>
          <w:color w:val="0070C0"/>
          <w:sz w:val="24"/>
        </w:rPr>
        <w:t>6,8</w:t>
      </w:r>
      <w:r w:rsidR="0003026D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puan </w:t>
      </w:r>
      <w:r w:rsidR="00BF1065">
        <w:rPr>
          <w:rFonts w:asciiTheme="minorHAnsi" w:hAnsiTheme="minorHAnsi" w:cs="Arial"/>
          <w:b w:val="0"/>
          <w:color w:val="0070C0"/>
          <w:sz w:val="24"/>
        </w:rPr>
        <w:t>azaldı</w:t>
      </w:r>
      <w:r w:rsidR="00B14C5D" w:rsidRPr="00732EE0">
        <w:rPr>
          <w:rFonts w:asciiTheme="minorHAnsi" w:hAnsiTheme="minorHAnsi" w:cs="Arial"/>
          <w:b w:val="0"/>
          <w:color w:val="0070C0"/>
          <w:sz w:val="24"/>
        </w:rPr>
        <w:t>. KOPE değeri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 bir önceki aya göre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2B43B6" w:rsidRPr="00732EE0">
        <w:rPr>
          <w:rFonts w:asciiTheme="minorHAnsi" w:hAnsiTheme="minorHAnsi" w:cs="Arial"/>
          <w:b w:val="0"/>
          <w:color w:val="0070C0"/>
          <w:sz w:val="24"/>
        </w:rPr>
        <w:t>is</w:t>
      </w:r>
      <w:r w:rsidR="00DE1B8B" w:rsidRPr="00732EE0">
        <w:rPr>
          <w:rFonts w:asciiTheme="minorHAnsi" w:hAnsiTheme="minorHAnsi" w:cs="Arial"/>
          <w:b w:val="0"/>
          <w:color w:val="0070C0"/>
          <w:sz w:val="24"/>
        </w:rPr>
        <w:t xml:space="preserve">e </w:t>
      </w:r>
      <w:r>
        <w:rPr>
          <w:rFonts w:asciiTheme="minorHAnsi" w:hAnsiTheme="minorHAnsi" w:cs="Arial"/>
          <w:b w:val="0"/>
          <w:color w:val="0070C0"/>
          <w:sz w:val="24"/>
        </w:rPr>
        <w:t>3,4</w:t>
      </w:r>
      <w:r w:rsidR="001C3C0E">
        <w:rPr>
          <w:rFonts w:asciiTheme="minorHAnsi" w:hAnsiTheme="minorHAnsi" w:cs="Arial"/>
          <w:b w:val="0"/>
          <w:color w:val="0070C0"/>
          <w:sz w:val="24"/>
        </w:rPr>
        <w:t xml:space="preserve"> puan a</w:t>
      </w:r>
      <w:r>
        <w:rPr>
          <w:rFonts w:asciiTheme="minorHAnsi" w:hAnsiTheme="minorHAnsi" w:cs="Arial"/>
          <w:b w:val="0"/>
          <w:color w:val="0070C0"/>
          <w:sz w:val="24"/>
        </w:rPr>
        <w:t>rttı</w:t>
      </w:r>
      <w:r w:rsidR="00201819" w:rsidRPr="00732EE0">
        <w:rPr>
          <w:rFonts w:asciiTheme="minorHAnsi" w:hAnsiTheme="minorHAnsi" w:cs="Arial"/>
          <w:b w:val="0"/>
          <w:color w:val="0070C0"/>
          <w:sz w:val="24"/>
        </w:rPr>
        <w:t xml:space="preserve">. Konya perakendesi, </w:t>
      </w:r>
      <w:r>
        <w:rPr>
          <w:rFonts w:asciiTheme="minorHAnsi" w:hAnsiTheme="minorHAnsi" w:cs="Arial"/>
          <w:b w:val="0"/>
          <w:color w:val="0070C0"/>
          <w:sz w:val="24"/>
        </w:rPr>
        <w:t>mayıs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944640" w:rsidRPr="00732EE0">
        <w:rPr>
          <w:rFonts w:asciiTheme="minorHAnsi" w:hAnsiTheme="minorHAnsi" w:cs="Arial"/>
          <w:b w:val="0"/>
          <w:color w:val="0070C0"/>
          <w:sz w:val="24"/>
        </w:rPr>
        <w:t>ayında</w:t>
      </w:r>
      <w:r w:rsidR="002A3226" w:rsidRPr="00732EE0">
        <w:rPr>
          <w:rFonts w:asciiTheme="minorHAnsi" w:hAnsiTheme="minorHAnsi" w:cs="Arial"/>
          <w:b w:val="0"/>
          <w:color w:val="0070C0"/>
          <w:sz w:val="24"/>
        </w:rPr>
        <w:t xml:space="preserve"> </w:t>
      </w:r>
      <w:r w:rsidR="004627DD" w:rsidRPr="00732EE0">
        <w:rPr>
          <w:rFonts w:asciiTheme="minorHAnsi" w:hAnsiTheme="minorHAnsi" w:cs="Arial"/>
          <w:b w:val="0"/>
          <w:color w:val="0070C0"/>
          <w:sz w:val="24"/>
        </w:rPr>
        <w:t xml:space="preserve">AB-28’in 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>gerisinde kalırken</w:t>
      </w:r>
      <w:r w:rsidR="00506F76" w:rsidRPr="00732EE0">
        <w:rPr>
          <w:rFonts w:asciiTheme="minorHAnsi" w:hAnsiTheme="minorHAnsi" w:cs="Arial"/>
          <w:b w:val="0"/>
          <w:color w:val="0070C0"/>
          <w:sz w:val="24"/>
        </w:rPr>
        <w:t>,</w:t>
      </w:r>
      <w:r w:rsidR="00D72FED" w:rsidRPr="00732EE0">
        <w:rPr>
          <w:rFonts w:asciiTheme="minorHAnsi" w:hAnsiTheme="minorHAnsi" w:cs="Arial"/>
          <w:b w:val="0"/>
          <w:color w:val="0070C0"/>
          <w:sz w:val="24"/>
        </w:rPr>
        <w:t xml:space="preserve"> Türkiye genelin</w:t>
      </w:r>
      <w:r w:rsidR="004E6416" w:rsidRPr="00732EE0">
        <w:rPr>
          <w:rFonts w:asciiTheme="minorHAnsi" w:hAnsiTheme="minorHAnsi" w:cs="Arial"/>
          <w:b w:val="0"/>
          <w:color w:val="0070C0"/>
          <w:sz w:val="24"/>
        </w:rPr>
        <w:t>den daha iyi performans sergiledi.</w:t>
      </w:r>
    </w:p>
    <w:p w14:paraId="4CA6017B" w14:textId="4F717AB1" w:rsidR="000E738A" w:rsidRDefault="00E33DFB" w:rsidP="000E738A">
      <w:pPr>
        <w:tabs>
          <w:tab w:val="left" w:pos="8258"/>
        </w:tabs>
        <w:spacing w:before="240" w:after="0"/>
        <w:jc w:val="both"/>
        <w:rPr>
          <w:rFonts w:asciiTheme="minorHAnsi" w:hAnsiTheme="minorHAnsi"/>
        </w:rPr>
      </w:pPr>
      <w:r w:rsidRPr="00A926F0">
        <w:rPr>
          <w:rFonts w:asciiTheme="minorHAnsi" w:hAnsiTheme="minorHAnsi"/>
          <w:b/>
        </w:rPr>
        <w:t>Şekil-</w:t>
      </w:r>
      <w:r w:rsidR="006953DD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KOPE, TEPE ile AB-28</w:t>
      </w:r>
      <w:r w:rsidRPr="00A926F0">
        <w:rPr>
          <w:rFonts w:asciiTheme="minorHAnsi" w:hAnsiTheme="minorHAnsi"/>
        </w:rPr>
        <w:t xml:space="preserve"> Perakende Endeksinin karşılaştırılması </w:t>
      </w:r>
      <w:proofErr w:type="gramStart"/>
      <w:r w:rsidRPr="00A926F0">
        <w:rPr>
          <w:rFonts w:asciiTheme="minorHAnsi" w:hAnsiTheme="minorHAnsi"/>
        </w:rPr>
        <w:t>(</w:t>
      </w:r>
      <w:proofErr w:type="gramEnd"/>
      <w:r w:rsidR="0079362B">
        <w:rPr>
          <w:rFonts w:asciiTheme="minorHAnsi" w:hAnsiTheme="minorHAnsi"/>
        </w:rPr>
        <w:t>Mayıs</w:t>
      </w:r>
      <w:r w:rsidR="00017E87">
        <w:rPr>
          <w:rFonts w:asciiTheme="minorHAnsi" w:hAnsiTheme="minorHAnsi"/>
        </w:rPr>
        <w:t xml:space="preserve"> </w:t>
      </w:r>
      <w:r w:rsidR="0067423F">
        <w:rPr>
          <w:rFonts w:asciiTheme="minorHAnsi" w:hAnsiTheme="minorHAnsi"/>
        </w:rPr>
        <w:t>2016</w:t>
      </w:r>
      <w:r w:rsidRPr="00A926F0">
        <w:rPr>
          <w:rFonts w:asciiTheme="minorHAnsi" w:hAnsiTheme="minorHAnsi"/>
        </w:rPr>
        <w:t xml:space="preserve"> </w:t>
      </w:r>
      <w:r w:rsidR="00017E87">
        <w:rPr>
          <w:rFonts w:asciiTheme="minorHAnsi" w:hAnsiTheme="minorHAnsi"/>
        </w:rPr>
        <w:t>–</w:t>
      </w:r>
      <w:r w:rsidRPr="00A926F0">
        <w:rPr>
          <w:rFonts w:asciiTheme="minorHAnsi" w:hAnsiTheme="minorHAnsi"/>
        </w:rPr>
        <w:t xml:space="preserve"> </w:t>
      </w:r>
      <w:r w:rsidR="0079362B">
        <w:rPr>
          <w:rFonts w:asciiTheme="minorHAnsi" w:hAnsiTheme="minorHAnsi"/>
        </w:rPr>
        <w:t>Mayıs</w:t>
      </w:r>
      <w:r w:rsidR="00017E87">
        <w:rPr>
          <w:rFonts w:asciiTheme="minorHAnsi" w:hAnsiTheme="minorHAnsi"/>
        </w:rPr>
        <w:t xml:space="preserve"> </w:t>
      </w:r>
      <w:r w:rsidR="0067423F">
        <w:rPr>
          <w:rFonts w:asciiTheme="minorHAnsi" w:hAnsiTheme="minorHAnsi"/>
        </w:rPr>
        <w:t>2017</w:t>
      </w:r>
    </w:p>
    <w:p w14:paraId="6080E382" w14:textId="374DAD43" w:rsidR="00674767" w:rsidRDefault="0079362B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39FCB550" wp14:editId="38976F6A">
            <wp:extent cx="5759450" cy="2715624"/>
            <wp:effectExtent l="0" t="0" r="12700" b="2794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A4CDCA" w14:textId="77777777" w:rsidR="00FE22B6" w:rsidRDefault="00FE22B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0C7796E0" w14:textId="77777777" w:rsidR="008A2EB3" w:rsidRDefault="008A2EB3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62E3D6B4" w14:textId="77777777" w:rsidR="00506F76" w:rsidRDefault="00506F76" w:rsidP="00E33DFB">
      <w:pPr>
        <w:tabs>
          <w:tab w:val="left" w:pos="8258"/>
        </w:tabs>
        <w:spacing w:after="0"/>
        <w:jc w:val="both"/>
        <w:rPr>
          <w:rFonts w:asciiTheme="minorHAnsi" w:hAnsiTheme="minorHAnsi"/>
        </w:rPr>
      </w:pPr>
    </w:p>
    <w:p w14:paraId="59B0B498" w14:textId="77777777" w:rsidR="00E33DFB" w:rsidRDefault="00E33DFB" w:rsidP="00E33DFB">
      <w:pPr>
        <w:tabs>
          <w:tab w:val="left" w:pos="8258"/>
        </w:tabs>
        <w:spacing w:after="0"/>
        <w:jc w:val="both"/>
        <w:rPr>
          <w:rFonts w:asciiTheme="minorHAnsi" w:hAnsiTheme="minorHAnsi" w:cs="Arial"/>
          <w:b/>
          <w:szCs w:val="20"/>
        </w:rPr>
      </w:pPr>
      <w:r w:rsidRPr="004222D5">
        <w:rPr>
          <w:rFonts w:asciiTheme="minorHAnsi" w:hAnsiTheme="minorHAnsi"/>
          <w:b/>
        </w:rPr>
        <w:t>Tablo-7.</w:t>
      </w:r>
      <w:r w:rsidRPr="004222D5">
        <w:rPr>
          <w:rFonts w:asciiTheme="minorHAnsi" w:hAnsiTheme="minorHAnsi"/>
        </w:rPr>
        <w:t xml:space="preserve"> Konya Perakende Güven Endeksi</w:t>
      </w:r>
      <w:r w:rsidRPr="00231059">
        <w:rPr>
          <w:rStyle w:val="DipnotBavurusu"/>
          <w:rFonts w:asciiTheme="minorHAnsi" w:hAnsiTheme="minorHAnsi" w:cs="Arial"/>
          <w:b/>
          <w:szCs w:val="20"/>
        </w:rPr>
        <w:t xml:space="preserve"> </w:t>
      </w:r>
    </w:p>
    <w:tbl>
      <w:tblPr>
        <w:tblStyle w:val="OrtaKlavuz3-Vurgu1"/>
        <w:tblW w:w="10778" w:type="dxa"/>
        <w:jc w:val="center"/>
        <w:tblLook w:val="04A0" w:firstRow="1" w:lastRow="0" w:firstColumn="1" w:lastColumn="0" w:noHBand="0" w:noVBand="1"/>
      </w:tblPr>
      <w:tblGrid>
        <w:gridCol w:w="697"/>
        <w:gridCol w:w="741"/>
        <w:gridCol w:w="807"/>
        <w:gridCol w:w="708"/>
        <w:gridCol w:w="808"/>
        <w:gridCol w:w="808"/>
        <w:gridCol w:w="974"/>
        <w:gridCol w:w="1063"/>
        <w:gridCol w:w="1052"/>
        <w:gridCol w:w="730"/>
        <w:gridCol w:w="730"/>
        <w:gridCol w:w="852"/>
        <w:gridCol w:w="808"/>
      </w:tblGrid>
      <w:tr w:rsidR="00E33DFB" w:rsidRPr="003127E7" w14:paraId="00EDED6B" w14:textId="77777777" w:rsidTr="00B6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B0D1910" w14:textId="77777777" w:rsidR="00E33DFB" w:rsidRPr="00847C02" w:rsidRDefault="00E33DF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70875F97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Ocak</w:t>
            </w:r>
          </w:p>
        </w:tc>
        <w:tc>
          <w:tcPr>
            <w:tcW w:w="807" w:type="dxa"/>
            <w:noWrap/>
            <w:vAlign w:val="center"/>
            <w:hideMark/>
          </w:tcPr>
          <w:p w14:paraId="146B0989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Şubat</w:t>
            </w:r>
          </w:p>
        </w:tc>
        <w:tc>
          <w:tcPr>
            <w:tcW w:w="708" w:type="dxa"/>
            <w:noWrap/>
            <w:vAlign w:val="center"/>
            <w:hideMark/>
          </w:tcPr>
          <w:p w14:paraId="695992FA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Mart</w:t>
            </w:r>
          </w:p>
        </w:tc>
        <w:tc>
          <w:tcPr>
            <w:tcW w:w="808" w:type="dxa"/>
            <w:noWrap/>
            <w:vAlign w:val="center"/>
            <w:hideMark/>
          </w:tcPr>
          <w:p w14:paraId="2C68623B" w14:textId="77777777" w:rsidR="00E33DFB" w:rsidRPr="00847C02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 w:rsidRPr="00847C02"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Nisan</w:t>
            </w:r>
          </w:p>
        </w:tc>
        <w:tc>
          <w:tcPr>
            <w:tcW w:w="808" w:type="dxa"/>
            <w:noWrap/>
            <w:vAlign w:val="center"/>
            <w:hideMark/>
          </w:tcPr>
          <w:p w14:paraId="3B8D2A01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Mayıs</w:t>
            </w:r>
          </w:p>
        </w:tc>
        <w:tc>
          <w:tcPr>
            <w:tcW w:w="974" w:type="dxa"/>
            <w:noWrap/>
            <w:vAlign w:val="center"/>
            <w:hideMark/>
          </w:tcPr>
          <w:p w14:paraId="31914786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Haziran</w:t>
            </w:r>
          </w:p>
        </w:tc>
        <w:tc>
          <w:tcPr>
            <w:tcW w:w="1063" w:type="dxa"/>
            <w:noWrap/>
            <w:vAlign w:val="center"/>
            <w:hideMark/>
          </w:tcPr>
          <w:p w14:paraId="2D71AD62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Temmuz</w:t>
            </w:r>
          </w:p>
        </w:tc>
        <w:tc>
          <w:tcPr>
            <w:tcW w:w="1052" w:type="dxa"/>
            <w:noWrap/>
            <w:vAlign w:val="center"/>
            <w:hideMark/>
          </w:tcPr>
          <w:p w14:paraId="7D1549F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Ağustos</w:t>
            </w:r>
          </w:p>
        </w:tc>
        <w:tc>
          <w:tcPr>
            <w:tcW w:w="730" w:type="dxa"/>
            <w:noWrap/>
            <w:vAlign w:val="center"/>
            <w:hideMark/>
          </w:tcPr>
          <w:p w14:paraId="34C26503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Eylül</w:t>
            </w:r>
          </w:p>
        </w:tc>
        <w:tc>
          <w:tcPr>
            <w:tcW w:w="730" w:type="dxa"/>
            <w:noWrap/>
            <w:vAlign w:val="center"/>
            <w:hideMark/>
          </w:tcPr>
          <w:p w14:paraId="20AA026D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Ekim</w:t>
            </w:r>
          </w:p>
        </w:tc>
        <w:tc>
          <w:tcPr>
            <w:tcW w:w="852" w:type="dxa"/>
            <w:noWrap/>
            <w:vAlign w:val="center"/>
            <w:hideMark/>
          </w:tcPr>
          <w:p w14:paraId="352BDD60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Kasım</w:t>
            </w:r>
          </w:p>
        </w:tc>
        <w:tc>
          <w:tcPr>
            <w:tcW w:w="808" w:type="dxa"/>
            <w:noWrap/>
            <w:vAlign w:val="center"/>
            <w:hideMark/>
          </w:tcPr>
          <w:p w14:paraId="6ED8742E" w14:textId="77777777" w:rsidR="00E33DFB" w:rsidRPr="007F6EF7" w:rsidRDefault="00E33DFB" w:rsidP="00124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</w:pPr>
            <w:r w:rsidRPr="007F6EF7">
              <w:rPr>
                <w:rFonts w:asciiTheme="minorHAnsi" w:eastAsia="Times New Roman" w:hAnsiTheme="minorHAnsi" w:cs="Arial"/>
                <w:bCs w:val="0"/>
                <w:color w:val="000000" w:themeColor="text1"/>
                <w:szCs w:val="20"/>
                <w:lang w:eastAsia="tr-TR"/>
              </w:rPr>
              <w:t>Aralık</w:t>
            </w:r>
          </w:p>
        </w:tc>
      </w:tr>
      <w:tr w:rsidR="0079362B" w:rsidRPr="00660B7D" w14:paraId="6E9BD2A1" w14:textId="77777777" w:rsidTr="002C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2B9DA24" w14:textId="77777777" w:rsidR="0079362B" w:rsidRPr="00847C02" w:rsidRDefault="0079362B" w:rsidP="00124C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2015</w:t>
            </w:r>
          </w:p>
        </w:tc>
        <w:tc>
          <w:tcPr>
            <w:tcW w:w="741" w:type="dxa"/>
            <w:noWrap/>
            <w:vAlign w:val="bottom"/>
            <w:hideMark/>
          </w:tcPr>
          <w:p w14:paraId="6EF280BA" w14:textId="2A52A490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-0,5</w:t>
            </w:r>
          </w:p>
        </w:tc>
        <w:tc>
          <w:tcPr>
            <w:tcW w:w="807" w:type="dxa"/>
            <w:noWrap/>
            <w:vAlign w:val="bottom"/>
            <w:hideMark/>
          </w:tcPr>
          <w:p w14:paraId="68414938" w14:textId="2BFC4E0F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</w:t>
            </w:r>
          </w:p>
        </w:tc>
        <w:tc>
          <w:tcPr>
            <w:tcW w:w="708" w:type="dxa"/>
            <w:noWrap/>
            <w:vAlign w:val="bottom"/>
            <w:hideMark/>
          </w:tcPr>
          <w:p w14:paraId="2BA2C7AE" w14:textId="2AF3FE58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-2,0</w:t>
            </w:r>
          </w:p>
        </w:tc>
        <w:tc>
          <w:tcPr>
            <w:tcW w:w="808" w:type="dxa"/>
            <w:noWrap/>
            <w:vAlign w:val="bottom"/>
            <w:hideMark/>
          </w:tcPr>
          <w:p w14:paraId="1ED32BFD" w14:textId="2E65F181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-0,7</w:t>
            </w:r>
          </w:p>
        </w:tc>
        <w:tc>
          <w:tcPr>
            <w:tcW w:w="808" w:type="dxa"/>
            <w:noWrap/>
            <w:vAlign w:val="bottom"/>
            <w:hideMark/>
          </w:tcPr>
          <w:p w14:paraId="264B5138" w14:textId="38C6E68D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974" w:type="dxa"/>
            <w:noWrap/>
            <w:vAlign w:val="bottom"/>
            <w:hideMark/>
          </w:tcPr>
          <w:p w14:paraId="32778FAF" w14:textId="074BC05E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1,6</w:t>
            </w:r>
          </w:p>
        </w:tc>
        <w:tc>
          <w:tcPr>
            <w:tcW w:w="1063" w:type="dxa"/>
            <w:noWrap/>
            <w:vAlign w:val="bottom"/>
            <w:hideMark/>
          </w:tcPr>
          <w:p w14:paraId="2FD00B36" w14:textId="562602D4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</w:t>
            </w:r>
          </w:p>
        </w:tc>
        <w:tc>
          <w:tcPr>
            <w:tcW w:w="1052" w:type="dxa"/>
            <w:noWrap/>
            <w:vAlign w:val="bottom"/>
            <w:hideMark/>
          </w:tcPr>
          <w:p w14:paraId="5B4AD9E7" w14:textId="4D61D002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</w:t>
            </w:r>
          </w:p>
        </w:tc>
        <w:tc>
          <w:tcPr>
            <w:tcW w:w="730" w:type="dxa"/>
            <w:noWrap/>
            <w:vAlign w:val="bottom"/>
            <w:hideMark/>
          </w:tcPr>
          <w:p w14:paraId="6196511A" w14:textId="0E538309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-2,6</w:t>
            </w:r>
          </w:p>
        </w:tc>
        <w:tc>
          <w:tcPr>
            <w:tcW w:w="730" w:type="dxa"/>
            <w:noWrap/>
            <w:vAlign w:val="bottom"/>
            <w:hideMark/>
          </w:tcPr>
          <w:p w14:paraId="5EB238A5" w14:textId="2B3D5213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</w:t>
            </w:r>
          </w:p>
        </w:tc>
        <w:tc>
          <w:tcPr>
            <w:tcW w:w="852" w:type="dxa"/>
            <w:noWrap/>
            <w:vAlign w:val="bottom"/>
            <w:hideMark/>
          </w:tcPr>
          <w:p w14:paraId="763408DA" w14:textId="2965E8CD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10,4</w:t>
            </w:r>
          </w:p>
        </w:tc>
        <w:tc>
          <w:tcPr>
            <w:tcW w:w="808" w:type="dxa"/>
            <w:noWrap/>
            <w:vAlign w:val="bottom"/>
            <w:hideMark/>
          </w:tcPr>
          <w:p w14:paraId="45447726" w14:textId="470C3EEC" w:rsidR="0079362B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6,0</w:t>
            </w:r>
          </w:p>
        </w:tc>
      </w:tr>
      <w:tr w:rsidR="0079362B" w:rsidRPr="003127E7" w14:paraId="75D74625" w14:textId="77777777" w:rsidTr="002C33ED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AEC64EB" w14:textId="77777777" w:rsidR="0079362B" w:rsidRPr="00660B7D" w:rsidRDefault="0079362B" w:rsidP="00660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2016</w:t>
            </w:r>
          </w:p>
        </w:tc>
        <w:tc>
          <w:tcPr>
            <w:tcW w:w="741" w:type="dxa"/>
            <w:noWrap/>
            <w:vAlign w:val="bottom"/>
            <w:hideMark/>
          </w:tcPr>
          <w:p w14:paraId="09E88416" w14:textId="7547937B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807" w:type="dxa"/>
            <w:noWrap/>
            <w:vAlign w:val="bottom"/>
            <w:hideMark/>
          </w:tcPr>
          <w:p w14:paraId="381FE515" w14:textId="37629156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-2,1</w:t>
            </w:r>
          </w:p>
        </w:tc>
        <w:tc>
          <w:tcPr>
            <w:tcW w:w="708" w:type="dxa"/>
            <w:noWrap/>
            <w:vAlign w:val="bottom"/>
            <w:hideMark/>
          </w:tcPr>
          <w:p w14:paraId="3AA42D19" w14:textId="3527E1F7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-4,2</w:t>
            </w:r>
          </w:p>
        </w:tc>
        <w:tc>
          <w:tcPr>
            <w:tcW w:w="808" w:type="dxa"/>
            <w:noWrap/>
            <w:vAlign w:val="bottom"/>
            <w:hideMark/>
          </w:tcPr>
          <w:p w14:paraId="4762E316" w14:textId="708BB86C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-2,1</w:t>
            </w:r>
          </w:p>
        </w:tc>
        <w:tc>
          <w:tcPr>
            <w:tcW w:w="808" w:type="dxa"/>
            <w:noWrap/>
            <w:vAlign w:val="bottom"/>
            <w:hideMark/>
          </w:tcPr>
          <w:p w14:paraId="37AE9603" w14:textId="14FE13B8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-2,2</w:t>
            </w:r>
          </w:p>
        </w:tc>
        <w:tc>
          <w:tcPr>
            <w:tcW w:w="974" w:type="dxa"/>
            <w:noWrap/>
            <w:vAlign w:val="bottom"/>
            <w:hideMark/>
          </w:tcPr>
          <w:p w14:paraId="3FBDD4D2" w14:textId="2F211A48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-2,6</w:t>
            </w:r>
          </w:p>
        </w:tc>
        <w:tc>
          <w:tcPr>
            <w:tcW w:w="1063" w:type="dxa"/>
            <w:noWrap/>
            <w:vAlign w:val="bottom"/>
            <w:hideMark/>
          </w:tcPr>
          <w:p w14:paraId="709A4D0F" w14:textId="4B27F4F3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-1,7</w:t>
            </w:r>
          </w:p>
        </w:tc>
        <w:tc>
          <w:tcPr>
            <w:tcW w:w="1052" w:type="dxa"/>
            <w:noWrap/>
            <w:vAlign w:val="bottom"/>
            <w:hideMark/>
          </w:tcPr>
          <w:p w14:paraId="6A8B314E" w14:textId="5797AF55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2,2</w:t>
            </w:r>
          </w:p>
        </w:tc>
        <w:tc>
          <w:tcPr>
            <w:tcW w:w="730" w:type="dxa"/>
            <w:noWrap/>
            <w:vAlign w:val="bottom"/>
            <w:hideMark/>
          </w:tcPr>
          <w:p w14:paraId="78EF7D16" w14:textId="12681081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-1,1</w:t>
            </w:r>
          </w:p>
        </w:tc>
        <w:tc>
          <w:tcPr>
            <w:tcW w:w="730" w:type="dxa"/>
            <w:noWrap/>
            <w:vAlign w:val="bottom"/>
            <w:hideMark/>
          </w:tcPr>
          <w:p w14:paraId="169EA995" w14:textId="6D3AE13E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0,2</w:t>
            </w:r>
          </w:p>
        </w:tc>
        <w:tc>
          <w:tcPr>
            <w:tcW w:w="852" w:type="dxa"/>
            <w:noWrap/>
            <w:vAlign w:val="bottom"/>
            <w:hideMark/>
          </w:tcPr>
          <w:p w14:paraId="5FDC84E1" w14:textId="59399779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-3,6</w:t>
            </w:r>
          </w:p>
        </w:tc>
        <w:tc>
          <w:tcPr>
            <w:tcW w:w="808" w:type="dxa"/>
            <w:noWrap/>
            <w:vAlign w:val="bottom"/>
            <w:hideMark/>
          </w:tcPr>
          <w:p w14:paraId="29E29E15" w14:textId="4E91518B" w:rsidR="0079362B" w:rsidRPr="000C5631" w:rsidRDefault="0079362B" w:rsidP="000C563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-6,4</w:t>
            </w:r>
          </w:p>
        </w:tc>
      </w:tr>
      <w:tr w:rsidR="0079362B" w:rsidRPr="003127E7" w14:paraId="338E4BF9" w14:textId="77777777" w:rsidTr="000B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EAAF452" w14:textId="77777777" w:rsidR="0079362B" w:rsidRPr="00660B7D" w:rsidRDefault="0079362B" w:rsidP="00660B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0"/>
                <w:lang w:eastAsia="tr-TR"/>
              </w:rPr>
              <w:t>2017</w:t>
            </w:r>
          </w:p>
        </w:tc>
        <w:tc>
          <w:tcPr>
            <w:tcW w:w="741" w:type="dxa"/>
            <w:noWrap/>
            <w:vAlign w:val="bottom"/>
          </w:tcPr>
          <w:p w14:paraId="5F6BE9CB" w14:textId="7B655D6A" w:rsidR="0079362B" w:rsidRPr="000C5631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-7,4</w:t>
            </w:r>
          </w:p>
        </w:tc>
        <w:tc>
          <w:tcPr>
            <w:tcW w:w="807" w:type="dxa"/>
            <w:noWrap/>
            <w:vAlign w:val="bottom"/>
          </w:tcPr>
          <w:p w14:paraId="49F50230" w14:textId="56D654DE" w:rsidR="0079362B" w:rsidRPr="000C5631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-4,5</w:t>
            </w:r>
          </w:p>
        </w:tc>
        <w:tc>
          <w:tcPr>
            <w:tcW w:w="708" w:type="dxa"/>
            <w:noWrap/>
            <w:vAlign w:val="bottom"/>
          </w:tcPr>
          <w:p w14:paraId="5761C56D" w14:textId="6A2A60DF" w:rsidR="0079362B" w:rsidRPr="000C5631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-1,0</w:t>
            </w:r>
          </w:p>
        </w:tc>
        <w:tc>
          <w:tcPr>
            <w:tcW w:w="808" w:type="dxa"/>
            <w:noWrap/>
            <w:vAlign w:val="bottom"/>
          </w:tcPr>
          <w:p w14:paraId="5CDFC634" w14:textId="220219C7" w:rsidR="0079362B" w:rsidRPr="000C5631" w:rsidRDefault="0079362B" w:rsidP="000C563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-2,2</w:t>
            </w:r>
          </w:p>
        </w:tc>
        <w:tc>
          <w:tcPr>
            <w:tcW w:w="808" w:type="dxa"/>
            <w:noWrap/>
            <w:vAlign w:val="bottom"/>
          </w:tcPr>
          <w:p w14:paraId="0FC3B068" w14:textId="45A3A376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  <w:tc>
          <w:tcPr>
            <w:tcW w:w="974" w:type="dxa"/>
            <w:noWrap/>
            <w:vAlign w:val="bottom"/>
          </w:tcPr>
          <w:p w14:paraId="61532E64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63" w:type="dxa"/>
            <w:noWrap/>
            <w:vAlign w:val="bottom"/>
          </w:tcPr>
          <w:p w14:paraId="4F279D66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1052" w:type="dxa"/>
            <w:noWrap/>
            <w:vAlign w:val="bottom"/>
          </w:tcPr>
          <w:p w14:paraId="3DCE418C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2CB57C7D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730" w:type="dxa"/>
            <w:noWrap/>
            <w:vAlign w:val="bottom"/>
          </w:tcPr>
          <w:p w14:paraId="49759F13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52" w:type="dxa"/>
            <w:noWrap/>
            <w:vAlign w:val="bottom"/>
          </w:tcPr>
          <w:p w14:paraId="406489AC" w14:textId="77777777" w:rsidR="0079362B" w:rsidRPr="00FC0CD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  <w:tc>
          <w:tcPr>
            <w:tcW w:w="808" w:type="dxa"/>
            <w:noWrap/>
            <w:vAlign w:val="center"/>
            <w:hideMark/>
          </w:tcPr>
          <w:p w14:paraId="6C02694B" w14:textId="77777777" w:rsidR="0079362B" w:rsidRPr="00660B7D" w:rsidRDefault="0079362B" w:rsidP="00FC0CD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szCs w:val="20"/>
                <w:lang w:eastAsia="tr-TR"/>
              </w:rPr>
            </w:pPr>
          </w:p>
        </w:tc>
      </w:tr>
    </w:tbl>
    <w:p w14:paraId="75054E52" w14:textId="77777777" w:rsidR="00B6558D" w:rsidRDefault="00B6558D" w:rsidP="00124C33">
      <w:pPr>
        <w:jc w:val="center"/>
        <w:rPr>
          <w:rFonts w:asciiTheme="minorHAnsi" w:hAnsiTheme="minorHAnsi" w:cs="Arial"/>
          <w:b/>
          <w:sz w:val="18"/>
        </w:rPr>
      </w:pPr>
    </w:p>
    <w:p w14:paraId="679A88D6" w14:textId="77777777" w:rsidR="00714548" w:rsidRDefault="00714548" w:rsidP="00124C33">
      <w:pPr>
        <w:jc w:val="center"/>
        <w:rPr>
          <w:rFonts w:asciiTheme="minorHAnsi" w:hAnsiTheme="minorHAnsi" w:cs="Arial"/>
          <w:b/>
          <w:sz w:val="18"/>
        </w:rPr>
      </w:pPr>
    </w:p>
    <w:sectPr w:rsidR="00714548" w:rsidSect="00311EB2">
      <w:headerReference w:type="default" r:id="rId15"/>
      <w:footerReference w:type="default" r:id="rId1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E626" w14:textId="77777777" w:rsidR="00FB1A71" w:rsidRDefault="00FB1A71" w:rsidP="000A02C9">
      <w:pPr>
        <w:spacing w:after="0" w:line="240" w:lineRule="auto"/>
      </w:pPr>
      <w:r>
        <w:separator/>
      </w:r>
    </w:p>
  </w:endnote>
  <w:endnote w:type="continuationSeparator" w:id="0">
    <w:p w14:paraId="2D4EED75" w14:textId="77777777" w:rsidR="00FB1A71" w:rsidRDefault="00FB1A71" w:rsidP="000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FB14" w14:textId="77777777" w:rsidR="00775BC0" w:rsidRPr="00A4738A" w:rsidRDefault="00775BC0" w:rsidP="0084648C">
    <w:pPr>
      <w:pStyle w:val="Altbilgi"/>
      <w:jc w:val="right"/>
      <w:rPr>
        <w:rFonts w:asciiTheme="minorHAnsi" w:hAnsiTheme="minorHAnsi" w:cs="Arial"/>
        <w:b/>
        <w:color w:val="000066"/>
        <w:sz w:val="24"/>
        <w:szCs w:val="24"/>
      </w:rPr>
    </w:pPr>
    <w:r w:rsidRPr="00A4738A">
      <w:rPr>
        <w:rFonts w:asciiTheme="minorHAnsi" w:hAnsiTheme="minorHAnsi" w:cs="Arial"/>
        <w:b/>
        <w:color w:val="000066"/>
        <w:sz w:val="24"/>
        <w:szCs w:val="24"/>
      </w:rPr>
      <w:t>www.tepav.org.tr</w:t>
    </w:r>
    <w:r w:rsidRPr="00A4738A">
      <w:rPr>
        <w:rFonts w:asciiTheme="minorHAnsi" w:hAnsiTheme="minorHAnsi"/>
        <w:b/>
        <w:color w:val="000066"/>
        <w:sz w:val="32"/>
        <w:szCs w:val="32"/>
      </w:rPr>
      <w:t xml:space="preserve"> </w:t>
    </w:r>
    <w:sdt>
      <w:sdtPr>
        <w:rPr>
          <w:rFonts w:asciiTheme="minorHAnsi" w:hAnsiTheme="minorHAnsi" w:cs="Arial"/>
          <w:b/>
          <w:sz w:val="24"/>
          <w:szCs w:val="24"/>
        </w:rPr>
        <w:id w:val="394529"/>
        <w:docPartObj>
          <w:docPartGallery w:val="Page Numbers (Bottom of Page)"/>
          <w:docPartUnique/>
        </w:docPartObj>
      </w:sdtPr>
      <w:sdtEndPr/>
      <w:sdtContent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t xml:space="preserve"> |  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begin"/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instrText xml:space="preserve"> PAGE   \* MERGEFORMAT </w:instrTex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separate"/>
        </w:r>
        <w:r w:rsidR="009D28CA">
          <w:rPr>
            <w:rFonts w:asciiTheme="minorHAnsi" w:hAnsiTheme="minorHAnsi" w:cs="Arial"/>
            <w:b/>
            <w:noProof/>
            <w:color w:val="000066"/>
            <w:sz w:val="24"/>
            <w:szCs w:val="24"/>
          </w:rPr>
          <w:t>1</w:t>
        </w:r>
        <w:r w:rsidRPr="00A4738A">
          <w:rPr>
            <w:rFonts w:asciiTheme="minorHAnsi" w:hAnsiTheme="minorHAnsi" w:cs="Arial"/>
            <w:b/>
            <w:color w:val="000066"/>
            <w:sz w:val="24"/>
            <w:szCs w:val="24"/>
          </w:rPr>
          <w:fldChar w:fldCharType="end"/>
        </w:r>
      </w:sdtContent>
    </w:sdt>
  </w:p>
  <w:p w14:paraId="1C74026A" w14:textId="77777777" w:rsidR="00775BC0" w:rsidRPr="001F13A5" w:rsidRDefault="00775BC0" w:rsidP="001F13A5">
    <w:pPr>
      <w:pStyle w:val="Altbilgi"/>
      <w:jc w:val="center"/>
      <w:rPr>
        <w:rFonts w:ascii="Arial Black" w:hAnsi="Arial Black" w:cs="Arial"/>
        <w:b/>
        <w:color w:val="00006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9C6F" w14:textId="77777777" w:rsidR="00FB1A71" w:rsidRDefault="00FB1A71" w:rsidP="000A02C9">
      <w:pPr>
        <w:spacing w:after="0" w:line="240" w:lineRule="auto"/>
      </w:pPr>
      <w:r>
        <w:separator/>
      </w:r>
    </w:p>
  </w:footnote>
  <w:footnote w:type="continuationSeparator" w:id="0">
    <w:p w14:paraId="7297BFB7" w14:textId="77777777" w:rsidR="00FB1A71" w:rsidRDefault="00FB1A71" w:rsidP="000A02C9">
      <w:pPr>
        <w:spacing w:after="0" w:line="240" w:lineRule="auto"/>
      </w:pPr>
      <w:r>
        <w:continuationSeparator/>
      </w:r>
    </w:p>
  </w:footnote>
  <w:footnote w:id="1">
    <w:p w14:paraId="49B96D1D" w14:textId="77777777" w:rsidR="00775BC0" w:rsidRDefault="00775BC0" w:rsidP="004B440A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sz w:val="22"/>
        </w:rPr>
        <w:t>Bültendeki tablolar ve grafikler -aksi belirtilmediği- sürece mevsimsellikten arındırılmış serilere göre hazırlanmıştır.</w:t>
      </w:r>
    </w:p>
    <w:p w14:paraId="699BCE25" w14:textId="77777777" w:rsidR="00775BC0" w:rsidRDefault="00775BC0">
      <w:pPr>
        <w:pStyle w:val="DipnotMetni"/>
      </w:pPr>
    </w:p>
  </w:footnote>
  <w:footnote w:id="2">
    <w:p w14:paraId="19404EC4" w14:textId="77777777" w:rsidR="00775BC0" w:rsidRPr="00F31BC3" w:rsidRDefault="00775BC0" w:rsidP="00963B01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Style w:val="DipnotBavurusu"/>
          <w:rFonts w:asciiTheme="minorHAnsi" w:hAnsiTheme="minorHAnsi" w:cs="Arial"/>
          <w:b/>
          <w:sz w:val="24"/>
        </w:rPr>
        <w:footnoteRef/>
      </w:r>
      <w:r w:rsidRPr="00F31BC3">
        <w:rPr>
          <w:rFonts w:asciiTheme="minorHAnsi" w:hAnsiTheme="minorHAnsi" w:cs="Arial"/>
          <w:sz w:val="24"/>
        </w:rPr>
        <w:t xml:space="preserve"> </w:t>
      </w:r>
      <w:r w:rsidRPr="00F31BC3">
        <w:rPr>
          <w:rFonts w:asciiTheme="minorHAnsi" w:hAnsiTheme="minorHAnsi" w:cs="Arial"/>
          <w:szCs w:val="20"/>
        </w:rPr>
        <w:t>Stok düzeyinde pozitif değer stok düzeyinin normalin altında olduğunu ifade etmektedir.</w:t>
      </w:r>
    </w:p>
    <w:p w14:paraId="531A6934" w14:textId="77777777" w:rsidR="00775BC0" w:rsidRPr="007F57A7" w:rsidRDefault="00775BC0" w:rsidP="00231059">
      <w:pPr>
        <w:spacing w:after="0" w:line="240" w:lineRule="auto"/>
        <w:rPr>
          <w:rFonts w:asciiTheme="minorHAnsi" w:hAnsiTheme="minorHAnsi" w:cs="Arial"/>
          <w:szCs w:val="20"/>
        </w:rPr>
      </w:pPr>
      <w:r w:rsidRPr="00F31BC3">
        <w:rPr>
          <w:rFonts w:asciiTheme="minorHAnsi" w:hAnsiTheme="minorHAnsi" w:cs="Arial"/>
          <w:b/>
          <w:sz w:val="24"/>
        </w:rPr>
        <w:t xml:space="preserve">  </w:t>
      </w:r>
      <w:r w:rsidRPr="00F31BC3">
        <w:rPr>
          <w:rFonts w:asciiTheme="minorHAnsi" w:hAnsiTheme="minorHAnsi" w:cs="Arial"/>
          <w:szCs w:val="20"/>
        </w:rPr>
        <w:t>Tablo-</w:t>
      </w:r>
      <w:r>
        <w:rPr>
          <w:rFonts w:asciiTheme="minorHAnsi" w:hAnsiTheme="minorHAnsi" w:cs="Arial"/>
          <w:szCs w:val="20"/>
        </w:rPr>
        <w:t>4’de</w:t>
      </w:r>
      <w:r w:rsidRPr="00F31BC3">
        <w:rPr>
          <w:rFonts w:asciiTheme="minorHAnsi" w:hAnsiTheme="minorHAnsi" w:cs="Arial"/>
          <w:szCs w:val="20"/>
        </w:rPr>
        <w:t>ki (-) değerler negatif beklentilerin pozitif beklentilerden fazla olduğunu ifade etmektedir.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1FBF" w14:textId="77777777" w:rsidR="00775BC0" w:rsidRDefault="00775B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25FACB9" wp14:editId="2B71D9B3">
          <wp:simplePos x="0" y="0"/>
          <wp:positionH relativeFrom="column">
            <wp:posOffset>-738505</wp:posOffset>
          </wp:positionH>
          <wp:positionV relativeFrom="paragraph">
            <wp:posOffset>-459740</wp:posOffset>
          </wp:positionV>
          <wp:extent cx="7181850" cy="1428750"/>
          <wp:effectExtent l="19050" t="0" r="0" b="0"/>
          <wp:wrapNone/>
          <wp:docPr id="5" name="Picture 3" descr="C:\Users\tepav32\Desktop\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pav32\Desktop\ar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157" cy="143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3AE10" w14:textId="77777777" w:rsidR="00775BC0" w:rsidRDefault="00775BC0" w:rsidP="0084648C">
    <w:pPr>
      <w:pStyle w:val="stbilgi"/>
      <w:tabs>
        <w:tab w:val="clear" w:pos="4536"/>
        <w:tab w:val="clear" w:pos="9072"/>
        <w:tab w:val="left" w:pos="65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41"/>
    <w:multiLevelType w:val="hybridMultilevel"/>
    <w:tmpl w:val="109E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92C"/>
    <w:multiLevelType w:val="hybridMultilevel"/>
    <w:tmpl w:val="4C94213C"/>
    <w:lvl w:ilvl="0" w:tplc="6FDA752C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EEC"/>
    <w:multiLevelType w:val="hybridMultilevel"/>
    <w:tmpl w:val="216C7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12E"/>
    <w:multiLevelType w:val="hybridMultilevel"/>
    <w:tmpl w:val="D654E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hesabı">
    <w15:presenceInfo w15:providerId="Windows Live" w15:userId="23b9440b12560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B"/>
    <w:rsid w:val="00000332"/>
    <w:rsid w:val="000004C7"/>
    <w:rsid w:val="00000E52"/>
    <w:rsid w:val="000013F5"/>
    <w:rsid w:val="00002D15"/>
    <w:rsid w:val="00005802"/>
    <w:rsid w:val="000058C2"/>
    <w:rsid w:val="0000598D"/>
    <w:rsid w:val="00005B42"/>
    <w:rsid w:val="00005CBA"/>
    <w:rsid w:val="00005E28"/>
    <w:rsid w:val="000061BF"/>
    <w:rsid w:val="0000643E"/>
    <w:rsid w:val="000064CE"/>
    <w:rsid w:val="0000663B"/>
    <w:rsid w:val="00006A1B"/>
    <w:rsid w:val="000109A9"/>
    <w:rsid w:val="00010A0F"/>
    <w:rsid w:val="00012345"/>
    <w:rsid w:val="00012F8C"/>
    <w:rsid w:val="000131FF"/>
    <w:rsid w:val="00013287"/>
    <w:rsid w:val="000147B1"/>
    <w:rsid w:val="00016584"/>
    <w:rsid w:val="00016A8A"/>
    <w:rsid w:val="00016DC8"/>
    <w:rsid w:val="00017513"/>
    <w:rsid w:val="00017844"/>
    <w:rsid w:val="000178B0"/>
    <w:rsid w:val="00017E87"/>
    <w:rsid w:val="00017F0B"/>
    <w:rsid w:val="0002002B"/>
    <w:rsid w:val="000202A2"/>
    <w:rsid w:val="0002030C"/>
    <w:rsid w:val="00020AE4"/>
    <w:rsid w:val="000220B1"/>
    <w:rsid w:val="00022570"/>
    <w:rsid w:val="0002283B"/>
    <w:rsid w:val="00023FD2"/>
    <w:rsid w:val="000240C9"/>
    <w:rsid w:val="00024745"/>
    <w:rsid w:val="00026357"/>
    <w:rsid w:val="00027CCB"/>
    <w:rsid w:val="0003017D"/>
    <w:rsid w:val="0003026D"/>
    <w:rsid w:val="000306B6"/>
    <w:rsid w:val="000308D9"/>
    <w:rsid w:val="000308EE"/>
    <w:rsid w:val="00030AD0"/>
    <w:rsid w:val="00030C47"/>
    <w:rsid w:val="00030FEC"/>
    <w:rsid w:val="000313ED"/>
    <w:rsid w:val="000316B9"/>
    <w:rsid w:val="00031E91"/>
    <w:rsid w:val="0003238E"/>
    <w:rsid w:val="00033314"/>
    <w:rsid w:val="00034BF6"/>
    <w:rsid w:val="00034E10"/>
    <w:rsid w:val="00035EC9"/>
    <w:rsid w:val="00035FD3"/>
    <w:rsid w:val="0003612B"/>
    <w:rsid w:val="00037804"/>
    <w:rsid w:val="00037C13"/>
    <w:rsid w:val="0004046A"/>
    <w:rsid w:val="00040CA9"/>
    <w:rsid w:val="00041563"/>
    <w:rsid w:val="00041EE2"/>
    <w:rsid w:val="00042A43"/>
    <w:rsid w:val="00045876"/>
    <w:rsid w:val="0004664C"/>
    <w:rsid w:val="00050008"/>
    <w:rsid w:val="00050243"/>
    <w:rsid w:val="000509A8"/>
    <w:rsid w:val="00051D0F"/>
    <w:rsid w:val="00052CB6"/>
    <w:rsid w:val="00052F64"/>
    <w:rsid w:val="0005359D"/>
    <w:rsid w:val="00054192"/>
    <w:rsid w:val="0005489A"/>
    <w:rsid w:val="000549C1"/>
    <w:rsid w:val="000549CC"/>
    <w:rsid w:val="000561FF"/>
    <w:rsid w:val="00056B21"/>
    <w:rsid w:val="0005752C"/>
    <w:rsid w:val="000577D0"/>
    <w:rsid w:val="00060CF6"/>
    <w:rsid w:val="000613F5"/>
    <w:rsid w:val="000619DF"/>
    <w:rsid w:val="00062231"/>
    <w:rsid w:val="0006224D"/>
    <w:rsid w:val="0006282E"/>
    <w:rsid w:val="000631F6"/>
    <w:rsid w:val="000634D2"/>
    <w:rsid w:val="00063596"/>
    <w:rsid w:val="000648F2"/>
    <w:rsid w:val="00064C22"/>
    <w:rsid w:val="00064F70"/>
    <w:rsid w:val="000651EC"/>
    <w:rsid w:val="00065C6C"/>
    <w:rsid w:val="00065EDB"/>
    <w:rsid w:val="00066751"/>
    <w:rsid w:val="0006681E"/>
    <w:rsid w:val="00066857"/>
    <w:rsid w:val="00066FF3"/>
    <w:rsid w:val="00067416"/>
    <w:rsid w:val="00067E50"/>
    <w:rsid w:val="00070ADB"/>
    <w:rsid w:val="0007132A"/>
    <w:rsid w:val="000728AC"/>
    <w:rsid w:val="00072A23"/>
    <w:rsid w:val="00072ADE"/>
    <w:rsid w:val="00072DB9"/>
    <w:rsid w:val="000748F2"/>
    <w:rsid w:val="00074D80"/>
    <w:rsid w:val="0007502C"/>
    <w:rsid w:val="000759D8"/>
    <w:rsid w:val="0007639A"/>
    <w:rsid w:val="000772DA"/>
    <w:rsid w:val="000801E1"/>
    <w:rsid w:val="0008034B"/>
    <w:rsid w:val="0008152E"/>
    <w:rsid w:val="00081A36"/>
    <w:rsid w:val="00082493"/>
    <w:rsid w:val="00082C2D"/>
    <w:rsid w:val="0008390B"/>
    <w:rsid w:val="000840BB"/>
    <w:rsid w:val="000850F8"/>
    <w:rsid w:val="00087941"/>
    <w:rsid w:val="00090EEA"/>
    <w:rsid w:val="00091946"/>
    <w:rsid w:val="000929A6"/>
    <w:rsid w:val="00092B89"/>
    <w:rsid w:val="00093018"/>
    <w:rsid w:val="00095380"/>
    <w:rsid w:val="0009609B"/>
    <w:rsid w:val="000962A6"/>
    <w:rsid w:val="00097430"/>
    <w:rsid w:val="000A0099"/>
    <w:rsid w:val="000A00E1"/>
    <w:rsid w:val="000A021C"/>
    <w:rsid w:val="000A02C9"/>
    <w:rsid w:val="000A06FD"/>
    <w:rsid w:val="000A1C92"/>
    <w:rsid w:val="000A2B1F"/>
    <w:rsid w:val="000A2F1E"/>
    <w:rsid w:val="000A3A97"/>
    <w:rsid w:val="000A3BC5"/>
    <w:rsid w:val="000A433E"/>
    <w:rsid w:val="000A4815"/>
    <w:rsid w:val="000A510D"/>
    <w:rsid w:val="000A6D12"/>
    <w:rsid w:val="000A79AD"/>
    <w:rsid w:val="000A7E04"/>
    <w:rsid w:val="000B0B21"/>
    <w:rsid w:val="000B2AEB"/>
    <w:rsid w:val="000B2E04"/>
    <w:rsid w:val="000B3B6E"/>
    <w:rsid w:val="000B3BAB"/>
    <w:rsid w:val="000B4827"/>
    <w:rsid w:val="000B4D53"/>
    <w:rsid w:val="000B5377"/>
    <w:rsid w:val="000B5B67"/>
    <w:rsid w:val="000B5FC2"/>
    <w:rsid w:val="000B62DE"/>
    <w:rsid w:val="000B66D8"/>
    <w:rsid w:val="000B69E3"/>
    <w:rsid w:val="000B74B7"/>
    <w:rsid w:val="000C1012"/>
    <w:rsid w:val="000C1D35"/>
    <w:rsid w:val="000C22E7"/>
    <w:rsid w:val="000C4CF2"/>
    <w:rsid w:val="000C4F4C"/>
    <w:rsid w:val="000C511A"/>
    <w:rsid w:val="000C5312"/>
    <w:rsid w:val="000C5631"/>
    <w:rsid w:val="000C6451"/>
    <w:rsid w:val="000C69BD"/>
    <w:rsid w:val="000C6E00"/>
    <w:rsid w:val="000C7712"/>
    <w:rsid w:val="000C7923"/>
    <w:rsid w:val="000C7AC2"/>
    <w:rsid w:val="000D07D4"/>
    <w:rsid w:val="000D0ABF"/>
    <w:rsid w:val="000D0F52"/>
    <w:rsid w:val="000D33BB"/>
    <w:rsid w:val="000D437B"/>
    <w:rsid w:val="000D4387"/>
    <w:rsid w:val="000D541F"/>
    <w:rsid w:val="000D79EA"/>
    <w:rsid w:val="000E0B25"/>
    <w:rsid w:val="000E0BA5"/>
    <w:rsid w:val="000E1D51"/>
    <w:rsid w:val="000E1DCA"/>
    <w:rsid w:val="000E1ECA"/>
    <w:rsid w:val="000E3168"/>
    <w:rsid w:val="000E39FA"/>
    <w:rsid w:val="000E48D8"/>
    <w:rsid w:val="000E5E0A"/>
    <w:rsid w:val="000E6686"/>
    <w:rsid w:val="000E68CC"/>
    <w:rsid w:val="000E6BF4"/>
    <w:rsid w:val="000E738A"/>
    <w:rsid w:val="000F3A60"/>
    <w:rsid w:val="000F3CF7"/>
    <w:rsid w:val="000F50C7"/>
    <w:rsid w:val="000F5817"/>
    <w:rsid w:val="000F5B9D"/>
    <w:rsid w:val="000F5C5E"/>
    <w:rsid w:val="000F630D"/>
    <w:rsid w:val="000F6F08"/>
    <w:rsid w:val="000F71F1"/>
    <w:rsid w:val="000F7D07"/>
    <w:rsid w:val="00102967"/>
    <w:rsid w:val="00102BE3"/>
    <w:rsid w:val="00103BD0"/>
    <w:rsid w:val="00104361"/>
    <w:rsid w:val="00104E70"/>
    <w:rsid w:val="00105CCA"/>
    <w:rsid w:val="00105EA8"/>
    <w:rsid w:val="0010665B"/>
    <w:rsid w:val="00106CDE"/>
    <w:rsid w:val="00107C4D"/>
    <w:rsid w:val="00110376"/>
    <w:rsid w:val="00110771"/>
    <w:rsid w:val="00110D51"/>
    <w:rsid w:val="001116DC"/>
    <w:rsid w:val="001126A0"/>
    <w:rsid w:val="00112FD1"/>
    <w:rsid w:val="00113093"/>
    <w:rsid w:val="001132AA"/>
    <w:rsid w:val="00113A5B"/>
    <w:rsid w:val="00114692"/>
    <w:rsid w:val="00115289"/>
    <w:rsid w:val="0011530F"/>
    <w:rsid w:val="001160D3"/>
    <w:rsid w:val="00116BCE"/>
    <w:rsid w:val="00117448"/>
    <w:rsid w:val="001177B4"/>
    <w:rsid w:val="0011780E"/>
    <w:rsid w:val="00117A75"/>
    <w:rsid w:val="00117C47"/>
    <w:rsid w:val="00120B3B"/>
    <w:rsid w:val="00120B3D"/>
    <w:rsid w:val="00123131"/>
    <w:rsid w:val="00123C5F"/>
    <w:rsid w:val="0012435E"/>
    <w:rsid w:val="0012451B"/>
    <w:rsid w:val="00124716"/>
    <w:rsid w:val="00124C33"/>
    <w:rsid w:val="00125224"/>
    <w:rsid w:val="001256F4"/>
    <w:rsid w:val="00125FC6"/>
    <w:rsid w:val="00126420"/>
    <w:rsid w:val="00126C27"/>
    <w:rsid w:val="00126F27"/>
    <w:rsid w:val="0013083A"/>
    <w:rsid w:val="00130CC1"/>
    <w:rsid w:val="001317C5"/>
    <w:rsid w:val="001326A7"/>
    <w:rsid w:val="00134330"/>
    <w:rsid w:val="001347DA"/>
    <w:rsid w:val="00134A31"/>
    <w:rsid w:val="00134EF9"/>
    <w:rsid w:val="00134F76"/>
    <w:rsid w:val="00134FCE"/>
    <w:rsid w:val="00135956"/>
    <w:rsid w:val="00135A73"/>
    <w:rsid w:val="001361A8"/>
    <w:rsid w:val="001363A1"/>
    <w:rsid w:val="0013782A"/>
    <w:rsid w:val="00137C30"/>
    <w:rsid w:val="0014067C"/>
    <w:rsid w:val="00140B9B"/>
    <w:rsid w:val="00140BC6"/>
    <w:rsid w:val="00140E02"/>
    <w:rsid w:val="001414A0"/>
    <w:rsid w:val="00141A9F"/>
    <w:rsid w:val="0014216D"/>
    <w:rsid w:val="00142BAD"/>
    <w:rsid w:val="00142D4F"/>
    <w:rsid w:val="00143759"/>
    <w:rsid w:val="00144BD0"/>
    <w:rsid w:val="001458B7"/>
    <w:rsid w:val="00146A5A"/>
    <w:rsid w:val="00146E58"/>
    <w:rsid w:val="00146FE9"/>
    <w:rsid w:val="00147145"/>
    <w:rsid w:val="00147667"/>
    <w:rsid w:val="001479D7"/>
    <w:rsid w:val="00147AFE"/>
    <w:rsid w:val="0015185F"/>
    <w:rsid w:val="00152187"/>
    <w:rsid w:val="001521E4"/>
    <w:rsid w:val="00152678"/>
    <w:rsid w:val="00153381"/>
    <w:rsid w:val="00153D86"/>
    <w:rsid w:val="001546C5"/>
    <w:rsid w:val="001546D4"/>
    <w:rsid w:val="00154727"/>
    <w:rsid w:val="00154B79"/>
    <w:rsid w:val="001603A6"/>
    <w:rsid w:val="0016130B"/>
    <w:rsid w:val="00161846"/>
    <w:rsid w:val="00164B2A"/>
    <w:rsid w:val="00164EED"/>
    <w:rsid w:val="0016507C"/>
    <w:rsid w:val="00165569"/>
    <w:rsid w:val="00166D2E"/>
    <w:rsid w:val="0016736F"/>
    <w:rsid w:val="00167459"/>
    <w:rsid w:val="0016773F"/>
    <w:rsid w:val="00167F8B"/>
    <w:rsid w:val="00170A2F"/>
    <w:rsid w:val="00170AAE"/>
    <w:rsid w:val="00171000"/>
    <w:rsid w:val="001711BE"/>
    <w:rsid w:val="00171283"/>
    <w:rsid w:val="00172AAB"/>
    <w:rsid w:val="00174328"/>
    <w:rsid w:val="00175E1A"/>
    <w:rsid w:val="00176654"/>
    <w:rsid w:val="00176C69"/>
    <w:rsid w:val="00177148"/>
    <w:rsid w:val="00177468"/>
    <w:rsid w:val="00177B78"/>
    <w:rsid w:val="00177D99"/>
    <w:rsid w:val="00177DB8"/>
    <w:rsid w:val="00180664"/>
    <w:rsid w:val="001813A3"/>
    <w:rsid w:val="00181768"/>
    <w:rsid w:val="00181AAA"/>
    <w:rsid w:val="00182602"/>
    <w:rsid w:val="001830E2"/>
    <w:rsid w:val="0018351E"/>
    <w:rsid w:val="0018411A"/>
    <w:rsid w:val="0018473C"/>
    <w:rsid w:val="001848E9"/>
    <w:rsid w:val="00184B69"/>
    <w:rsid w:val="001851A4"/>
    <w:rsid w:val="0018680A"/>
    <w:rsid w:val="00186F84"/>
    <w:rsid w:val="001875AA"/>
    <w:rsid w:val="0018764C"/>
    <w:rsid w:val="00191061"/>
    <w:rsid w:val="001927DD"/>
    <w:rsid w:val="001939A4"/>
    <w:rsid w:val="00193A10"/>
    <w:rsid w:val="00194790"/>
    <w:rsid w:val="001951E6"/>
    <w:rsid w:val="001953B8"/>
    <w:rsid w:val="00196463"/>
    <w:rsid w:val="001967F2"/>
    <w:rsid w:val="001970B1"/>
    <w:rsid w:val="00197B4F"/>
    <w:rsid w:val="001A0876"/>
    <w:rsid w:val="001A0A60"/>
    <w:rsid w:val="001A193B"/>
    <w:rsid w:val="001A26EA"/>
    <w:rsid w:val="001A3097"/>
    <w:rsid w:val="001A3A75"/>
    <w:rsid w:val="001A43CD"/>
    <w:rsid w:val="001A45FE"/>
    <w:rsid w:val="001A47E7"/>
    <w:rsid w:val="001A4BA1"/>
    <w:rsid w:val="001A5C53"/>
    <w:rsid w:val="001A7E50"/>
    <w:rsid w:val="001B1209"/>
    <w:rsid w:val="001B1CC0"/>
    <w:rsid w:val="001B1EE9"/>
    <w:rsid w:val="001B2115"/>
    <w:rsid w:val="001B4122"/>
    <w:rsid w:val="001B445F"/>
    <w:rsid w:val="001B46D5"/>
    <w:rsid w:val="001B4C12"/>
    <w:rsid w:val="001B4D5A"/>
    <w:rsid w:val="001B5ADA"/>
    <w:rsid w:val="001B6B15"/>
    <w:rsid w:val="001B7051"/>
    <w:rsid w:val="001C0281"/>
    <w:rsid w:val="001C030C"/>
    <w:rsid w:val="001C2326"/>
    <w:rsid w:val="001C2361"/>
    <w:rsid w:val="001C2AE1"/>
    <w:rsid w:val="001C2D0B"/>
    <w:rsid w:val="001C3A79"/>
    <w:rsid w:val="001C3C0E"/>
    <w:rsid w:val="001C4684"/>
    <w:rsid w:val="001C4848"/>
    <w:rsid w:val="001C698A"/>
    <w:rsid w:val="001C7479"/>
    <w:rsid w:val="001C77BD"/>
    <w:rsid w:val="001D0130"/>
    <w:rsid w:val="001D04CD"/>
    <w:rsid w:val="001D1FD4"/>
    <w:rsid w:val="001D3D96"/>
    <w:rsid w:val="001D4DD2"/>
    <w:rsid w:val="001D4DED"/>
    <w:rsid w:val="001D59D4"/>
    <w:rsid w:val="001D5A84"/>
    <w:rsid w:val="001D776D"/>
    <w:rsid w:val="001D7CC4"/>
    <w:rsid w:val="001E17E9"/>
    <w:rsid w:val="001E24E6"/>
    <w:rsid w:val="001E56AC"/>
    <w:rsid w:val="001E59BC"/>
    <w:rsid w:val="001E5BF1"/>
    <w:rsid w:val="001E607B"/>
    <w:rsid w:val="001E6221"/>
    <w:rsid w:val="001E627C"/>
    <w:rsid w:val="001E6E24"/>
    <w:rsid w:val="001E709C"/>
    <w:rsid w:val="001E7286"/>
    <w:rsid w:val="001E7334"/>
    <w:rsid w:val="001E741B"/>
    <w:rsid w:val="001E770C"/>
    <w:rsid w:val="001F107A"/>
    <w:rsid w:val="001F13A5"/>
    <w:rsid w:val="001F1918"/>
    <w:rsid w:val="001F196E"/>
    <w:rsid w:val="001F20D3"/>
    <w:rsid w:val="001F3372"/>
    <w:rsid w:val="001F3600"/>
    <w:rsid w:val="001F41B6"/>
    <w:rsid w:val="001F535C"/>
    <w:rsid w:val="001F555A"/>
    <w:rsid w:val="001F591C"/>
    <w:rsid w:val="001F7F2F"/>
    <w:rsid w:val="002001EC"/>
    <w:rsid w:val="00200B3A"/>
    <w:rsid w:val="00201513"/>
    <w:rsid w:val="00201724"/>
    <w:rsid w:val="00201819"/>
    <w:rsid w:val="002027BB"/>
    <w:rsid w:val="00202874"/>
    <w:rsid w:val="0020296A"/>
    <w:rsid w:val="002043CB"/>
    <w:rsid w:val="00204A20"/>
    <w:rsid w:val="00204E32"/>
    <w:rsid w:val="002056BA"/>
    <w:rsid w:val="002057B1"/>
    <w:rsid w:val="00206BB3"/>
    <w:rsid w:val="00207130"/>
    <w:rsid w:val="00207BDC"/>
    <w:rsid w:val="00207C4F"/>
    <w:rsid w:val="00207CA8"/>
    <w:rsid w:val="00210B35"/>
    <w:rsid w:val="002116E2"/>
    <w:rsid w:val="00211964"/>
    <w:rsid w:val="00211B6B"/>
    <w:rsid w:val="0021265A"/>
    <w:rsid w:val="00212B12"/>
    <w:rsid w:val="00212F65"/>
    <w:rsid w:val="00212FC2"/>
    <w:rsid w:val="00213119"/>
    <w:rsid w:val="0021322A"/>
    <w:rsid w:val="00213556"/>
    <w:rsid w:val="0021378A"/>
    <w:rsid w:val="00214096"/>
    <w:rsid w:val="002142F7"/>
    <w:rsid w:val="002158D0"/>
    <w:rsid w:val="00215CCC"/>
    <w:rsid w:val="0021636C"/>
    <w:rsid w:val="002210A9"/>
    <w:rsid w:val="0022201A"/>
    <w:rsid w:val="00222895"/>
    <w:rsid w:val="00223E63"/>
    <w:rsid w:val="00223EB3"/>
    <w:rsid w:val="0022475C"/>
    <w:rsid w:val="00224D22"/>
    <w:rsid w:val="00225287"/>
    <w:rsid w:val="002254D4"/>
    <w:rsid w:val="00225980"/>
    <w:rsid w:val="00225BDA"/>
    <w:rsid w:val="00226318"/>
    <w:rsid w:val="00230F59"/>
    <w:rsid w:val="00231059"/>
    <w:rsid w:val="00231A02"/>
    <w:rsid w:val="00233284"/>
    <w:rsid w:val="00233479"/>
    <w:rsid w:val="00233B3A"/>
    <w:rsid w:val="002342B0"/>
    <w:rsid w:val="00235CAA"/>
    <w:rsid w:val="00235E80"/>
    <w:rsid w:val="00236B87"/>
    <w:rsid w:val="00236D8E"/>
    <w:rsid w:val="002375CF"/>
    <w:rsid w:val="002378AE"/>
    <w:rsid w:val="00240B8C"/>
    <w:rsid w:val="00242EBF"/>
    <w:rsid w:val="00243394"/>
    <w:rsid w:val="00243F1E"/>
    <w:rsid w:val="00244325"/>
    <w:rsid w:val="0024595F"/>
    <w:rsid w:val="0024692F"/>
    <w:rsid w:val="002477FC"/>
    <w:rsid w:val="00250893"/>
    <w:rsid w:val="00250A3C"/>
    <w:rsid w:val="002516DF"/>
    <w:rsid w:val="0025186F"/>
    <w:rsid w:val="00253A28"/>
    <w:rsid w:val="00254BD8"/>
    <w:rsid w:val="00254CE8"/>
    <w:rsid w:val="00255556"/>
    <w:rsid w:val="00255F5E"/>
    <w:rsid w:val="0025774F"/>
    <w:rsid w:val="00257942"/>
    <w:rsid w:val="00257D65"/>
    <w:rsid w:val="002607BF"/>
    <w:rsid w:val="00261230"/>
    <w:rsid w:val="00262DF2"/>
    <w:rsid w:val="0026352A"/>
    <w:rsid w:val="00263C67"/>
    <w:rsid w:val="00264F77"/>
    <w:rsid w:val="00265B7C"/>
    <w:rsid w:val="00265EF7"/>
    <w:rsid w:val="0026656F"/>
    <w:rsid w:val="0026669D"/>
    <w:rsid w:val="002701B4"/>
    <w:rsid w:val="00270427"/>
    <w:rsid w:val="00270F74"/>
    <w:rsid w:val="002723BD"/>
    <w:rsid w:val="00272760"/>
    <w:rsid w:val="0027361E"/>
    <w:rsid w:val="00274133"/>
    <w:rsid w:val="0027522C"/>
    <w:rsid w:val="002764AC"/>
    <w:rsid w:val="002774E4"/>
    <w:rsid w:val="00277A08"/>
    <w:rsid w:val="00277DF3"/>
    <w:rsid w:val="00277E64"/>
    <w:rsid w:val="00280493"/>
    <w:rsid w:val="00280C6E"/>
    <w:rsid w:val="00280F34"/>
    <w:rsid w:val="00281013"/>
    <w:rsid w:val="00281D62"/>
    <w:rsid w:val="00282589"/>
    <w:rsid w:val="00282938"/>
    <w:rsid w:val="002836D4"/>
    <w:rsid w:val="00283CA7"/>
    <w:rsid w:val="002842EC"/>
    <w:rsid w:val="00284A5B"/>
    <w:rsid w:val="00285787"/>
    <w:rsid w:val="00285F05"/>
    <w:rsid w:val="0028649B"/>
    <w:rsid w:val="00286659"/>
    <w:rsid w:val="002867C9"/>
    <w:rsid w:val="002869BD"/>
    <w:rsid w:val="002875CD"/>
    <w:rsid w:val="002901A8"/>
    <w:rsid w:val="0029026C"/>
    <w:rsid w:val="00290295"/>
    <w:rsid w:val="0029085B"/>
    <w:rsid w:val="00290FB9"/>
    <w:rsid w:val="00291468"/>
    <w:rsid w:val="002917B6"/>
    <w:rsid w:val="00291E43"/>
    <w:rsid w:val="002946A7"/>
    <w:rsid w:val="002947B9"/>
    <w:rsid w:val="00295554"/>
    <w:rsid w:val="0029621F"/>
    <w:rsid w:val="00297DE5"/>
    <w:rsid w:val="002A018C"/>
    <w:rsid w:val="002A04C6"/>
    <w:rsid w:val="002A1060"/>
    <w:rsid w:val="002A11E5"/>
    <w:rsid w:val="002A1A66"/>
    <w:rsid w:val="002A1BCB"/>
    <w:rsid w:val="002A1F57"/>
    <w:rsid w:val="002A3226"/>
    <w:rsid w:val="002A4177"/>
    <w:rsid w:val="002A4C5E"/>
    <w:rsid w:val="002A54D0"/>
    <w:rsid w:val="002A6100"/>
    <w:rsid w:val="002A64FE"/>
    <w:rsid w:val="002A6B98"/>
    <w:rsid w:val="002A718B"/>
    <w:rsid w:val="002A7314"/>
    <w:rsid w:val="002A779F"/>
    <w:rsid w:val="002B0831"/>
    <w:rsid w:val="002B0A96"/>
    <w:rsid w:val="002B0BB5"/>
    <w:rsid w:val="002B0F70"/>
    <w:rsid w:val="002B169D"/>
    <w:rsid w:val="002B4007"/>
    <w:rsid w:val="002B43B6"/>
    <w:rsid w:val="002B53E4"/>
    <w:rsid w:val="002B6343"/>
    <w:rsid w:val="002B6382"/>
    <w:rsid w:val="002C027E"/>
    <w:rsid w:val="002C0D43"/>
    <w:rsid w:val="002C326B"/>
    <w:rsid w:val="002C33ED"/>
    <w:rsid w:val="002C418D"/>
    <w:rsid w:val="002C67B8"/>
    <w:rsid w:val="002C729E"/>
    <w:rsid w:val="002C77FF"/>
    <w:rsid w:val="002C78DE"/>
    <w:rsid w:val="002D01CD"/>
    <w:rsid w:val="002D0D50"/>
    <w:rsid w:val="002D1437"/>
    <w:rsid w:val="002D1E9B"/>
    <w:rsid w:val="002D2C00"/>
    <w:rsid w:val="002D3950"/>
    <w:rsid w:val="002D4B19"/>
    <w:rsid w:val="002D6B1F"/>
    <w:rsid w:val="002D6B37"/>
    <w:rsid w:val="002D766C"/>
    <w:rsid w:val="002D7AAC"/>
    <w:rsid w:val="002E1224"/>
    <w:rsid w:val="002E1488"/>
    <w:rsid w:val="002E3070"/>
    <w:rsid w:val="002E3F85"/>
    <w:rsid w:val="002E4B41"/>
    <w:rsid w:val="002E5859"/>
    <w:rsid w:val="002E6E30"/>
    <w:rsid w:val="002E7381"/>
    <w:rsid w:val="002F0937"/>
    <w:rsid w:val="002F13D2"/>
    <w:rsid w:val="002F21E5"/>
    <w:rsid w:val="002F2312"/>
    <w:rsid w:val="002F25FD"/>
    <w:rsid w:val="002F2E45"/>
    <w:rsid w:val="002F3C34"/>
    <w:rsid w:val="002F3D33"/>
    <w:rsid w:val="002F4354"/>
    <w:rsid w:val="002F4A9F"/>
    <w:rsid w:val="002F4F75"/>
    <w:rsid w:val="002F56FE"/>
    <w:rsid w:val="002F622E"/>
    <w:rsid w:val="002F6681"/>
    <w:rsid w:val="002F6B25"/>
    <w:rsid w:val="002F7D3B"/>
    <w:rsid w:val="002F7FBC"/>
    <w:rsid w:val="00300B2C"/>
    <w:rsid w:val="003017D7"/>
    <w:rsid w:val="003026B7"/>
    <w:rsid w:val="003029CC"/>
    <w:rsid w:val="00303F79"/>
    <w:rsid w:val="00304BE6"/>
    <w:rsid w:val="00304DDA"/>
    <w:rsid w:val="00305747"/>
    <w:rsid w:val="00310692"/>
    <w:rsid w:val="00311289"/>
    <w:rsid w:val="00311BB1"/>
    <w:rsid w:val="00311C63"/>
    <w:rsid w:val="00311D81"/>
    <w:rsid w:val="00311D92"/>
    <w:rsid w:val="00311EB2"/>
    <w:rsid w:val="003120ED"/>
    <w:rsid w:val="003127E7"/>
    <w:rsid w:val="00312803"/>
    <w:rsid w:val="00312A5F"/>
    <w:rsid w:val="003131D4"/>
    <w:rsid w:val="00313B90"/>
    <w:rsid w:val="00314634"/>
    <w:rsid w:val="0031488B"/>
    <w:rsid w:val="00315398"/>
    <w:rsid w:val="00315FDE"/>
    <w:rsid w:val="0032093D"/>
    <w:rsid w:val="00320BF5"/>
    <w:rsid w:val="0032193D"/>
    <w:rsid w:val="00321950"/>
    <w:rsid w:val="0032367E"/>
    <w:rsid w:val="00323CD1"/>
    <w:rsid w:val="00323D1D"/>
    <w:rsid w:val="003243F6"/>
    <w:rsid w:val="00324AEF"/>
    <w:rsid w:val="00324DDC"/>
    <w:rsid w:val="00326820"/>
    <w:rsid w:val="00327443"/>
    <w:rsid w:val="003275E3"/>
    <w:rsid w:val="00327820"/>
    <w:rsid w:val="00327C19"/>
    <w:rsid w:val="00330E61"/>
    <w:rsid w:val="00331DF5"/>
    <w:rsid w:val="00332E3C"/>
    <w:rsid w:val="003342DB"/>
    <w:rsid w:val="00337686"/>
    <w:rsid w:val="00340046"/>
    <w:rsid w:val="003406F6"/>
    <w:rsid w:val="00340B7B"/>
    <w:rsid w:val="00340DE6"/>
    <w:rsid w:val="00340EE9"/>
    <w:rsid w:val="00341B5C"/>
    <w:rsid w:val="00341C73"/>
    <w:rsid w:val="003423F7"/>
    <w:rsid w:val="00343C80"/>
    <w:rsid w:val="00343FEB"/>
    <w:rsid w:val="003456A2"/>
    <w:rsid w:val="00345B19"/>
    <w:rsid w:val="00346335"/>
    <w:rsid w:val="00346833"/>
    <w:rsid w:val="00346A3D"/>
    <w:rsid w:val="0034736F"/>
    <w:rsid w:val="00347734"/>
    <w:rsid w:val="003507A7"/>
    <w:rsid w:val="003509FC"/>
    <w:rsid w:val="0035106A"/>
    <w:rsid w:val="00351441"/>
    <w:rsid w:val="00351B96"/>
    <w:rsid w:val="003524F5"/>
    <w:rsid w:val="0035260C"/>
    <w:rsid w:val="00352907"/>
    <w:rsid w:val="00352B5A"/>
    <w:rsid w:val="00352C62"/>
    <w:rsid w:val="00352DDF"/>
    <w:rsid w:val="00353021"/>
    <w:rsid w:val="0035547C"/>
    <w:rsid w:val="00355591"/>
    <w:rsid w:val="00356970"/>
    <w:rsid w:val="00357A0B"/>
    <w:rsid w:val="00357EFF"/>
    <w:rsid w:val="00360451"/>
    <w:rsid w:val="00360556"/>
    <w:rsid w:val="00360B47"/>
    <w:rsid w:val="003610AE"/>
    <w:rsid w:val="00361E76"/>
    <w:rsid w:val="003628CF"/>
    <w:rsid w:val="003630D5"/>
    <w:rsid w:val="003638A7"/>
    <w:rsid w:val="003647EE"/>
    <w:rsid w:val="003650EB"/>
    <w:rsid w:val="00365127"/>
    <w:rsid w:val="0036594D"/>
    <w:rsid w:val="00367F72"/>
    <w:rsid w:val="003709AA"/>
    <w:rsid w:val="003722B3"/>
    <w:rsid w:val="00373D99"/>
    <w:rsid w:val="00373E9C"/>
    <w:rsid w:val="00374207"/>
    <w:rsid w:val="003745E9"/>
    <w:rsid w:val="0037590E"/>
    <w:rsid w:val="0037626A"/>
    <w:rsid w:val="00380173"/>
    <w:rsid w:val="00381D5D"/>
    <w:rsid w:val="00382D64"/>
    <w:rsid w:val="00383196"/>
    <w:rsid w:val="00383A0A"/>
    <w:rsid w:val="00383A76"/>
    <w:rsid w:val="00383AC3"/>
    <w:rsid w:val="00383B69"/>
    <w:rsid w:val="003848FB"/>
    <w:rsid w:val="00385217"/>
    <w:rsid w:val="0038573A"/>
    <w:rsid w:val="003867E2"/>
    <w:rsid w:val="00390541"/>
    <w:rsid w:val="00391333"/>
    <w:rsid w:val="003917D1"/>
    <w:rsid w:val="00391A8E"/>
    <w:rsid w:val="00391CDB"/>
    <w:rsid w:val="00392137"/>
    <w:rsid w:val="003922B1"/>
    <w:rsid w:val="00392FC6"/>
    <w:rsid w:val="003931C5"/>
    <w:rsid w:val="00393325"/>
    <w:rsid w:val="00393CF8"/>
    <w:rsid w:val="00394C94"/>
    <w:rsid w:val="00394E39"/>
    <w:rsid w:val="00394F03"/>
    <w:rsid w:val="0039546D"/>
    <w:rsid w:val="003957D2"/>
    <w:rsid w:val="003973C9"/>
    <w:rsid w:val="003978BA"/>
    <w:rsid w:val="00397FB0"/>
    <w:rsid w:val="003A0E9C"/>
    <w:rsid w:val="003A1365"/>
    <w:rsid w:val="003A27D5"/>
    <w:rsid w:val="003A2915"/>
    <w:rsid w:val="003A2C3B"/>
    <w:rsid w:val="003A2FF3"/>
    <w:rsid w:val="003A347F"/>
    <w:rsid w:val="003A4442"/>
    <w:rsid w:val="003A6A30"/>
    <w:rsid w:val="003A7725"/>
    <w:rsid w:val="003B0887"/>
    <w:rsid w:val="003B0F9F"/>
    <w:rsid w:val="003B2A41"/>
    <w:rsid w:val="003B2B9E"/>
    <w:rsid w:val="003B35FD"/>
    <w:rsid w:val="003B44EF"/>
    <w:rsid w:val="003B466B"/>
    <w:rsid w:val="003B50DD"/>
    <w:rsid w:val="003B5500"/>
    <w:rsid w:val="003B5535"/>
    <w:rsid w:val="003B57C9"/>
    <w:rsid w:val="003B657C"/>
    <w:rsid w:val="003B6F0B"/>
    <w:rsid w:val="003B6FC8"/>
    <w:rsid w:val="003B786C"/>
    <w:rsid w:val="003C1DFD"/>
    <w:rsid w:val="003C40BC"/>
    <w:rsid w:val="003C43CA"/>
    <w:rsid w:val="003C47FF"/>
    <w:rsid w:val="003C6DD5"/>
    <w:rsid w:val="003C6F05"/>
    <w:rsid w:val="003C6F95"/>
    <w:rsid w:val="003C74A1"/>
    <w:rsid w:val="003C7F5C"/>
    <w:rsid w:val="003D06D6"/>
    <w:rsid w:val="003D0F12"/>
    <w:rsid w:val="003D1020"/>
    <w:rsid w:val="003D2358"/>
    <w:rsid w:val="003D2739"/>
    <w:rsid w:val="003D2B4F"/>
    <w:rsid w:val="003D5102"/>
    <w:rsid w:val="003D5544"/>
    <w:rsid w:val="003D6E15"/>
    <w:rsid w:val="003D7767"/>
    <w:rsid w:val="003E0619"/>
    <w:rsid w:val="003E0C5C"/>
    <w:rsid w:val="003E185F"/>
    <w:rsid w:val="003E1F4D"/>
    <w:rsid w:val="003E2795"/>
    <w:rsid w:val="003E2E4F"/>
    <w:rsid w:val="003E42E8"/>
    <w:rsid w:val="003E5DCE"/>
    <w:rsid w:val="003F1935"/>
    <w:rsid w:val="003F1B13"/>
    <w:rsid w:val="003F23BD"/>
    <w:rsid w:val="003F2B09"/>
    <w:rsid w:val="003F3D70"/>
    <w:rsid w:val="003F475D"/>
    <w:rsid w:val="003F4C8B"/>
    <w:rsid w:val="003F5305"/>
    <w:rsid w:val="003F6689"/>
    <w:rsid w:val="003F680E"/>
    <w:rsid w:val="003F72E6"/>
    <w:rsid w:val="003F734B"/>
    <w:rsid w:val="00401248"/>
    <w:rsid w:val="00401404"/>
    <w:rsid w:val="00401DF7"/>
    <w:rsid w:val="00401EEB"/>
    <w:rsid w:val="0040215A"/>
    <w:rsid w:val="00402DDA"/>
    <w:rsid w:val="00403468"/>
    <w:rsid w:val="00403A83"/>
    <w:rsid w:val="0040475D"/>
    <w:rsid w:val="004050FD"/>
    <w:rsid w:val="004055CD"/>
    <w:rsid w:val="00405993"/>
    <w:rsid w:val="004061F4"/>
    <w:rsid w:val="00406C01"/>
    <w:rsid w:val="004071D9"/>
    <w:rsid w:val="00410F93"/>
    <w:rsid w:val="00411A52"/>
    <w:rsid w:val="00411C8D"/>
    <w:rsid w:val="00412160"/>
    <w:rsid w:val="00412822"/>
    <w:rsid w:val="004146A2"/>
    <w:rsid w:val="004153FB"/>
    <w:rsid w:val="00415D07"/>
    <w:rsid w:val="00416714"/>
    <w:rsid w:val="00417300"/>
    <w:rsid w:val="00417976"/>
    <w:rsid w:val="00420055"/>
    <w:rsid w:val="00420A6A"/>
    <w:rsid w:val="0042116D"/>
    <w:rsid w:val="00421579"/>
    <w:rsid w:val="004222D5"/>
    <w:rsid w:val="00422E2A"/>
    <w:rsid w:val="00422ED8"/>
    <w:rsid w:val="00423801"/>
    <w:rsid w:val="00423C71"/>
    <w:rsid w:val="00423CB6"/>
    <w:rsid w:val="00423DC0"/>
    <w:rsid w:val="00426D8C"/>
    <w:rsid w:val="00427719"/>
    <w:rsid w:val="00427826"/>
    <w:rsid w:val="004279CD"/>
    <w:rsid w:val="00427A26"/>
    <w:rsid w:val="00427CD7"/>
    <w:rsid w:val="00431953"/>
    <w:rsid w:val="0043217E"/>
    <w:rsid w:val="00432651"/>
    <w:rsid w:val="00432B28"/>
    <w:rsid w:val="00432CA2"/>
    <w:rsid w:val="0043314B"/>
    <w:rsid w:val="00433A4C"/>
    <w:rsid w:val="00434B99"/>
    <w:rsid w:val="00436251"/>
    <w:rsid w:val="00436AA2"/>
    <w:rsid w:val="00436DBD"/>
    <w:rsid w:val="004370D4"/>
    <w:rsid w:val="00437362"/>
    <w:rsid w:val="004420FC"/>
    <w:rsid w:val="0044225D"/>
    <w:rsid w:val="00442AE4"/>
    <w:rsid w:val="004433D8"/>
    <w:rsid w:val="00443FE3"/>
    <w:rsid w:val="00444031"/>
    <w:rsid w:val="00444836"/>
    <w:rsid w:val="004468CE"/>
    <w:rsid w:val="00446BA9"/>
    <w:rsid w:val="00446E2C"/>
    <w:rsid w:val="00450639"/>
    <w:rsid w:val="00450C66"/>
    <w:rsid w:val="004510BE"/>
    <w:rsid w:val="00451173"/>
    <w:rsid w:val="004515AE"/>
    <w:rsid w:val="00451FA5"/>
    <w:rsid w:val="0045273B"/>
    <w:rsid w:val="00455B61"/>
    <w:rsid w:val="00456465"/>
    <w:rsid w:val="00456C3A"/>
    <w:rsid w:val="00457618"/>
    <w:rsid w:val="004600F3"/>
    <w:rsid w:val="004627DD"/>
    <w:rsid w:val="00462D42"/>
    <w:rsid w:val="00462FFA"/>
    <w:rsid w:val="004633FF"/>
    <w:rsid w:val="00464E0F"/>
    <w:rsid w:val="004658B9"/>
    <w:rsid w:val="00466586"/>
    <w:rsid w:val="00467839"/>
    <w:rsid w:val="00467EFD"/>
    <w:rsid w:val="004704ED"/>
    <w:rsid w:val="00470685"/>
    <w:rsid w:val="004710B3"/>
    <w:rsid w:val="00471833"/>
    <w:rsid w:val="00471D33"/>
    <w:rsid w:val="00472336"/>
    <w:rsid w:val="0047262C"/>
    <w:rsid w:val="00473C76"/>
    <w:rsid w:val="004772E7"/>
    <w:rsid w:val="00477447"/>
    <w:rsid w:val="0048179B"/>
    <w:rsid w:val="00482F60"/>
    <w:rsid w:val="0048421A"/>
    <w:rsid w:val="00484389"/>
    <w:rsid w:val="0048474B"/>
    <w:rsid w:val="00484C92"/>
    <w:rsid w:val="00484F69"/>
    <w:rsid w:val="00485507"/>
    <w:rsid w:val="00485EDE"/>
    <w:rsid w:val="00485F3D"/>
    <w:rsid w:val="00485F71"/>
    <w:rsid w:val="00485FC8"/>
    <w:rsid w:val="00486DA6"/>
    <w:rsid w:val="0048717B"/>
    <w:rsid w:val="0049105E"/>
    <w:rsid w:val="00491CA1"/>
    <w:rsid w:val="00492B1F"/>
    <w:rsid w:val="00492D40"/>
    <w:rsid w:val="00493690"/>
    <w:rsid w:val="004936AA"/>
    <w:rsid w:val="00493711"/>
    <w:rsid w:val="00493EBC"/>
    <w:rsid w:val="00493F70"/>
    <w:rsid w:val="00494587"/>
    <w:rsid w:val="004946CD"/>
    <w:rsid w:val="00494B32"/>
    <w:rsid w:val="004965F8"/>
    <w:rsid w:val="0049678B"/>
    <w:rsid w:val="00497010"/>
    <w:rsid w:val="0049719F"/>
    <w:rsid w:val="00497C9F"/>
    <w:rsid w:val="004A02C2"/>
    <w:rsid w:val="004A073A"/>
    <w:rsid w:val="004A087B"/>
    <w:rsid w:val="004A098C"/>
    <w:rsid w:val="004A15CD"/>
    <w:rsid w:val="004A19EF"/>
    <w:rsid w:val="004A1E33"/>
    <w:rsid w:val="004A1F04"/>
    <w:rsid w:val="004A23D1"/>
    <w:rsid w:val="004A305D"/>
    <w:rsid w:val="004A42A9"/>
    <w:rsid w:val="004A443A"/>
    <w:rsid w:val="004A57F1"/>
    <w:rsid w:val="004A595F"/>
    <w:rsid w:val="004A6723"/>
    <w:rsid w:val="004A6FDD"/>
    <w:rsid w:val="004A72C2"/>
    <w:rsid w:val="004B161D"/>
    <w:rsid w:val="004B1E22"/>
    <w:rsid w:val="004B2D78"/>
    <w:rsid w:val="004B36D0"/>
    <w:rsid w:val="004B3E67"/>
    <w:rsid w:val="004B4167"/>
    <w:rsid w:val="004B422F"/>
    <w:rsid w:val="004B440A"/>
    <w:rsid w:val="004B4AC7"/>
    <w:rsid w:val="004B4C95"/>
    <w:rsid w:val="004B5A15"/>
    <w:rsid w:val="004B6344"/>
    <w:rsid w:val="004B74F3"/>
    <w:rsid w:val="004B7D0E"/>
    <w:rsid w:val="004C0C26"/>
    <w:rsid w:val="004C13A5"/>
    <w:rsid w:val="004C13F5"/>
    <w:rsid w:val="004C2044"/>
    <w:rsid w:val="004C2118"/>
    <w:rsid w:val="004C34D1"/>
    <w:rsid w:val="004C5521"/>
    <w:rsid w:val="004C63E6"/>
    <w:rsid w:val="004C6468"/>
    <w:rsid w:val="004C75D2"/>
    <w:rsid w:val="004D0EA5"/>
    <w:rsid w:val="004D1447"/>
    <w:rsid w:val="004D1626"/>
    <w:rsid w:val="004D1D32"/>
    <w:rsid w:val="004D3003"/>
    <w:rsid w:val="004D3B98"/>
    <w:rsid w:val="004D42C0"/>
    <w:rsid w:val="004D42CE"/>
    <w:rsid w:val="004D452E"/>
    <w:rsid w:val="004D46EF"/>
    <w:rsid w:val="004D554A"/>
    <w:rsid w:val="004D590F"/>
    <w:rsid w:val="004D5CAB"/>
    <w:rsid w:val="004D6CC8"/>
    <w:rsid w:val="004D71FF"/>
    <w:rsid w:val="004D7257"/>
    <w:rsid w:val="004E10CE"/>
    <w:rsid w:val="004E116A"/>
    <w:rsid w:val="004E22D7"/>
    <w:rsid w:val="004E2CB9"/>
    <w:rsid w:val="004E2DE7"/>
    <w:rsid w:val="004E4165"/>
    <w:rsid w:val="004E4410"/>
    <w:rsid w:val="004E5244"/>
    <w:rsid w:val="004E532B"/>
    <w:rsid w:val="004E5B6A"/>
    <w:rsid w:val="004E5E15"/>
    <w:rsid w:val="004E6416"/>
    <w:rsid w:val="004E6DD3"/>
    <w:rsid w:val="004E7C3B"/>
    <w:rsid w:val="004E7CF9"/>
    <w:rsid w:val="004F135D"/>
    <w:rsid w:val="004F26D8"/>
    <w:rsid w:val="004F2AD0"/>
    <w:rsid w:val="004F311F"/>
    <w:rsid w:val="004F3664"/>
    <w:rsid w:val="004F39C6"/>
    <w:rsid w:val="004F52B6"/>
    <w:rsid w:val="004F7113"/>
    <w:rsid w:val="004F750E"/>
    <w:rsid w:val="004F7EBC"/>
    <w:rsid w:val="00500244"/>
    <w:rsid w:val="00500643"/>
    <w:rsid w:val="00502FBE"/>
    <w:rsid w:val="00504538"/>
    <w:rsid w:val="005053A3"/>
    <w:rsid w:val="005056DC"/>
    <w:rsid w:val="00506535"/>
    <w:rsid w:val="00506F76"/>
    <w:rsid w:val="00512810"/>
    <w:rsid w:val="00512B45"/>
    <w:rsid w:val="00512D47"/>
    <w:rsid w:val="00514F5C"/>
    <w:rsid w:val="00516540"/>
    <w:rsid w:val="00516726"/>
    <w:rsid w:val="0051681F"/>
    <w:rsid w:val="00516B28"/>
    <w:rsid w:val="005170B2"/>
    <w:rsid w:val="005178A2"/>
    <w:rsid w:val="00520C33"/>
    <w:rsid w:val="00522FC7"/>
    <w:rsid w:val="005232E2"/>
    <w:rsid w:val="00523D08"/>
    <w:rsid w:val="00523EF0"/>
    <w:rsid w:val="005242F7"/>
    <w:rsid w:val="00525605"/>
    <w:rsid w:val="00525AF2"/>
    <w:rsid w:val="00525AFA"/>
    <w:rsid w:val="00525E9A"/>
    <w:rsid w:val="00526F43"/>
    <w:rsid w:val="00527807"/>
    <w:rsid w:val="00527AEF"/>
    <w:rsid w:val="00527EDC"/>
    <w:rsid w:val="00530297"/>
    <w:rsid w:val="00530578"/>
    <w:rsid w:val="00530BB3"/>
    <w:rsid w:val="00530CDA"/>
    <w:rsid w:val="00531176"/>
    <w:rsid w:val="005313D0"/>
    <w:rsid w:val="005326F8"/>
    <w:rsid w:val="005329D0"/>
    <w:rsid w:val="005330A3"/>
    <w:rsid w:val="0053438F"/>
    <w:rsid w:val="0053517C"/>
    <w:rsid w:val="00535292"/>
    <w:rsid w:val="0053537B"/>
    <w:rsid w:val="00535859"/>
    <w:rsid w:val="00535C20"/>
    <w:rsid w:val="005375F3"/>
    <w:rsid w:val="00540096"/>
    <w:rsid w:val="005408CA"/>
    <w:rsid w:val="00540B6E"/>
    <w:rsid w:val="00541B2B"/>
    <w:rsid w:val="00541EC9"/>
    <w:rsid w:val="005420A6"/>
    <w:rsid w:val="00542423"/>
    <w:rsid w:val="0054256D"/>
    <w:rsid w:val="005430E8"/>
    <w:rsid w:val="00543819"/>
    <w:rsid w:val="00545A2C"/>
    <w:rsid w:val="00550025"/>
    <w:rsid w:val="00550528"/>
    <w:rsid w:val="00552888"/>
    <w:rsid w:val="005530DB"/>
    <w:rsid w:val="005531E3"/>
    <w:rsid w:val="00553758"/>
    <w:rsid w:val="00553766"/>
    <w:rsid w:val="00553960"/>
    <w:rsid w:val="00553968"/>
    <w:rsid w:val="00554BE1"/>
    <w:rsid w:val="00555B59"/>
    <w:rsid w:val="00555FB4"/>
    <w:rsid w:val="005568D4"/>
    <w:rsid w:val="00556C72"/>
    <w:rsid w:val="005577E2"/>
    <w:rsid w:val="00557A7B"/>
    <w:rsid w:val="00557F4B"/>
    <w:rsid w:val="00560903"/>
    <w:rsid w:val="00560EEF"/>
    <w:rsid w:val="00561092"/>
    <w:rsid w:val="00561652"/>
    <w:rsid w:val="00561915"/>
    <w:rsid w:val="00561C69"/>
    <w:rsid w:val="005626CA"/>
    <w:rsid w:val="00562914"/>
    <w:rsid w:val="00563959"/>
    <w:rsid w:val="00564710"/>
    <w:rsid w:val="005648C9"/>
    <w:rsid w:val="00564C39"/>
    <w:rsid w:val="0056501E"/>
    <w:rsid w:val="00566369"/>
    <w:rsid w:val="005669EB"/>
    <w:rsid w:val="00566C25"/>
    <w:rsid w:val="00571CFF"/>
    <w:rsid w:val="00572092"/>
    <w:rsid w:val="005721B3"/>
    <w:rsid w:val="005732B0"/>
    <w:rsid w:val="00573591"/>
    <w:rsid w:val="00573E71"/>
    <w:rsid w:val="00575DA9"/>
    <w:rsid w:val="005766A0"/>
    <w:rsid w:val="00576B03"/>
    <w:rsid w:val="00577603"/>
    <w:rsid w:val="00577E45"/>
    <w:rsid w:val="00577E96"/>
    <w:rsid w:val="00581D8F"/>
    <w:rsid w:val="005824BC"/>
    <w:rsid w:val="0058352D"/>
    <w:rsid w:val="00583AF6"/>
    <w:rsid w:val="00583CDA"/>
    <w:rsid w:val="00583E6C"/>
    <w:rsid w:val="00584EFF"/>
    <w:rsid w:val="0058613D"/>
    <w:rsid w:val="00586B77"/>
    <w:rsid w:val="005875F0"/>
    <w:rsid w:val="00587CB1"/>
    <w:rsid w:val="00590013"/>
    <w:rsid w:val="00591867"/>
    <w:rsid w:val="0059196E"/>
    <w:rsid w:val="005938F3"/>
    <w:rsid w:val="00593F48"/>
    <w:rsid w:val="00594EFD"/>
    <w:rsid w:val="005951F7"/>
    <w:rsid w:val="00596785"/>
    <w:rsid w:val="00597049"/>
    <w:rsid w:val="005973CD"/>
    <w:rsid w:val="0059791D"/>
    <w:rsid w:val="005A0164"/>
    <w:rsid w:val="005A0763"/>
    <w:rsid w:val="005A09FE"/>
    <w:rsid w:val="005A0CA8"/>
    <w:rsid w:val="005A0D0C"/>
    <w:rsid w:val="005A158F"/>
    <w:rsid w:val="005A17CF"/>
    <w:rsid w:val="005A2235"/>
    <w:rsid w:val="005A2302"/>
    <w:rsid w:val="005A240A"/>
    <w:rsid w:val="005A432C"/>
    <w:rsid w:val="005A44BD"/>
    <w:rsid w:val="005A555C"/>
    <w:rsid w:val="005A5A7D"/>
    <w:rsid w:val="005A5E22"/>
    <w:rsid w:val="005A6663"/>
    <w:rsid w:val="005A7048"/>
    <w:rsid w:val="005A7678"/>
    <w:rsid w:val="005B0021"/>
    <w:rsid w:val="005B0614"/>
    <w:rsid w:val="005B116F"/>
    <w:rsid w:val="005B11FF"/>
    <w:rsid w:val="005B2A84"/>
    <w:rsid w:val="005B326E"/>
    <w:rsid w:val="005B363B"/>
    <w:rsid w:val="005B42CA"/>
    <w:rsid w:val="005B45E9"/>
    <w:rsid w:val="005B5168"/>
    <w:rsid w:val="005B5974"/>
    <w:rsid w:val="005B6263"/>
    <w:rsid w:val="005B74DD"/>
    <w:rsid w:val="005C02D0"/>
    <w:rsid w:val="005C0434"/>
    <w:rsid w:val="005C0ED1"/>
    <w:rsid w:val="005C1733"/>
    <w:rsid w:val="005C2088"/>
    <w:rsid w:val="005C2319"/>
    <w:rsid w:val="005C25FA"/>
    <w:rsid w:val="005C2917"/>
    <w:rsid w:val="005C4C24"/>
    <w:rsid w:val="005C4FF2"/>
    <w:rsid w:val="005C5217"/>
    <w:rsid w:val="005C5397"/>
    <w:rsid w:val="005C5D99"/>
    <w:rsid w:val="005C73A1"/>
    <w:rsid w:val="005C7E7A"/>
    <w:rsid w:val="005C7F1B"/>
    <w:rsid w:val="005D13A7"/>
    <w:rsid w:val="005D20C0"/>
    <w:rsid w:val="005D2186"/>
    <w:rsid w:val="005D2E36"/>
    <w:rsid w:val="005D3802"/>
    <w:rsid w:val="005D5B0C"/>
    <w:rsid w:val="005D5E1D"/>
    <w:rsid w:val="005D7063"/>
    <w:rsid w:val="005D7A2E"/>
    <w:rsid w:val="005E0B04"/>
    <w:rsid w:val="005E22C5"/>
    <w:rsid w:val="005E23C8"/>
    <w:rsid w:val="005E2920"/>
    <w:rsid w:val="005E2BE2"/>
    <w:rsid w:val="005E2EDD"/>
    <w:rsid w:val="005E3CFF"/>
    <w:rsid w:val="005E4503"/>
    <w:rsid w:val="005E4851"/>
    <w:rsid w:val="005E52D9"/>
    <w:rsid w:val="005E679F"/>
    <w:rsid w:val="005E6AB4"/>
    <w:rsid w:val="005E7143"/>
    <w:rsid w:val="005E7EB1"/>
    <w:rsid w:val="005E7F92"/>
    <w:rsid w:val="005F04A6"/>
    <w:rsid w:val="005F0611"/>
    <w:rsid w:val="005F0955"/>
    <w:rsid w:val="005F1127"/>
    <w:rsid w:val="005F122D"/>
    <w:rsid w:val="005F28DD"/>
    <w:rsid w:val="005F2DE5"/>
    <w:rsid w:val="005F2F0D"/>
    <w:rsid w:val="005F31AB"/>
    <w:rsid w:val="005F3C73"/>
    <w:rsid w:val="005F3CC4"/>
    <w:rsid w:val="005F402E"/>
    <w:rsid w:val="005F49AA"/>
    <w:rsid w:val="005F4FAE"/>
    <w:rsid w:val="005F58DB"/>
    <w:rsid w:val="005F6061"/>
    <w:rsid w:val="005F6331"/>
    <w:rsid w:val="005F69C2"/>
    <w:rsid w:val="005F70F4"/>
    <w:rsid w:val="005F7C08"/>
    <w:rsid w:val="00601012"/>
    <w:rsid w:val="006018C9"/>
    <w:rsid w:val="00602BB5"/>
    <w:rsid w:val="00603667"/>
    <w:rsid w:val="0060396D"/>
    <w:rsid w:val="006045EF"/>
    <w:rsid w:val="00606310"/>
    <w:rsid w:val="0060699B"/>
    <w:rsid w:val="00606E0B"/>
    <w:rsid w:val="00607188"/>
    <w:rsid w:val="00607FDA"/>
    <w:rsid w:val="006102F8"/>
    <w:rsid w:val="00612F0D"/>
    <w:rsid w:val="006133C1"/>
    <w:rsid w:val="006142C9"/>
    <w:rsid w:val="0061501D"/>
    <w:rsid w:val="00615074"/>
    <w:rsid w:val="00615848"/>
    <w:rsid w:val="0061653B"/>
    <w:rsid w:val="006170A3"/>
    <w:rsid w:val="006173E4"/>
    <w:rsid w:val="00617D87"/>
    <w:rsid w:val="006208D3"/>
    <w:rsid w:val="00620DB2"/>
    <w:rsid w:val="006215AF"/>
    <w:rsid w:val="00622319"/>
    <w:rsid w:val="0062275B"/>
    <w:rsid w:val="00622CD8"/>
    <w:rsid w:val="0062387E"/>
    <w:rsid w:val="00624BDE"/>
    <w:rsid w:val="0062742B"/>
    <w:rsid w:val="006275E2"/>
    <w:rsid w:val="00630C05"/>
    <w:rsid w:val="00631CA4"/>
    <w:rsid w:val="006324C2"/>
    <w:rsid w:val="00632534"/>
    <w:rsid w:val="00632F57"/>
    <w:rsid w:val="00632FE9"/>
    <w:rsid w:val="00633178"/>
    <w:rsid w:val="0063412E"/>
    <w:rsid w:val="006341B4"/>
    <w:rsid w:val="00634829"/>
    <w:rsid w:val="006349A6"/>
    <w:rsid w:val="00634F97"/>
    <w:rsid w:val="00635A2B"/>
    <w:rsid w:val="00636326"/>
    <w:rsid w:val="00636966"/>
    <w:rsid w:val="0063751A"/>
    <w:rsid w:val="0063799A"/>
    <w:rsid w:val="00637C25"/>
    <w:rsid w:val="0064258B"/>
    <w:rsid w:val="00642705"/>
    <w:rsid w:val="00642CFA"/>
    <w:rsid w:val="006448B4"/>
    <w:rsid w:val="00645CE1"/>
    <w:rsid w:val="00647031"/>
    <w:rsid w:val="006476D6"/>
    <w:rsid w:val="006500CA"/>
    <w:rsid w:val="00650AEF"/>
    <w:rsid w:val="006537AA"/>
    <w:rsid w:val="00653FA2"/>
    <w:rsid w:val="006548E9"/>
    <w:rsid w:val="00654C3E"/>
    <w:rsid w:val="006551B0"/>
    <w:rsid w:val="00655AF5"/>
    <w:rsid w:val="006575E6"/>
    <w:rsid w:val="00657A25"/>
    <w:rsid w:val="0066022F"/>
    <w:rsid w:val="00660537"/>
    <w:rsid w:val="00660B7D"/>
    <w:rsid w:val="00660D41"/>
    <w:rsid w:val="00662173"/>
    <w:rsid w:val="0066253C"/>
    <w:rsid w:val="00662C79"/>
    <w:rsid w:val="00662EBC"/>
    <w:rsid w:val="0066495A"/>
    <w:rsid w:val="00664977"/>
    <w:rsid w:val="00664BB9"/>
    <w:rsid w:val="00665009"/>
    <w:rsid w:val="00665FAC"/>
    <w:rsid w:val="0066693F"/>
    <w:rsid w:val="006677CC"/>
    <w:rsid w:val="0067021B"/>
    <w:rsid w:val="00670462"/>
    <w:rsid w:val="006733CF"/>
    <w:rsid w:val="006741F7"/>
    <w:rsid w:val="0067423F"/>
    <w:rsid w:val="006743CA"/>
    <w:rsid w:val="00674508"/>
    <w:rsid w:val="00674767"/>
    <w:rsid w:val="00674804"/>
    <w:rsid w:val="0067621D"/>
    <w:rsid w:val="0067690C"/>
    <w:rsid w:val="00677069"/>
    <w:rsid w:val="00677F6C"/>
    <w:rsid w:val="006802C1"/>
    <w:rsid w:val="006815E9"/>
    <w:rsid w:val="00681DA6"/>
    <w:rsid w:val="00682B02"/>
    <w:rsid w:val="00683574"/>
    <w:rsid w:val="00683891"/>
    <w:rsid w:val="006846F9"/>
    <w:rsid w:val="00685CD9"/>
    <w:rsid w:val="00685EA8"/>
    <w:rsid w:val="00687617"/>
    <w:rsid w:val="00687D78"/>
    <w:rsid w:val="0069063D"/>
    <w:rsid w:val="00691154"/>
    <w:rsid w:val="006914D3"/>
    <w:rsid w:val="00691A40"/>
    <w:rsid w:val="00692662"/>
    <w:rsid w:val="006942CC"/>
    <w:rsid w:val="006943C3"/>
    <w:rsid w:val="00694987"/>
    <w:rsid w:val="006953DD"/>
    <w:rsid w:val="00697039"/>
    <w:rsid w:val="006972BA"/>
    <w:rsid w:val="006976F3"/>
    <w:rsid w:val="006A044B"/>
    <w:rsid w:val="006A10D2"/>
    <w:rsid w:val="006A1B2C"/>
    <w:rsid w:val="006A1F65"/>
    <w:rsid w:val="006A24C9"/>
    <w:rsid w:val="006A2575"/>
    <w:rsid w:val="006A2A79"/>
    <w:rsid w:val="006A35F9"/>
    <w:rsid w:val="006A3748"/>
    <w:rsid w:val="006A3E83"/>
    <w:rsid w:val="006A4437"/>
    <w:rsid w:val="006A46CB"/>
    <w:rsid w:val="006A5251"/>
    <w:rsid w:val="006A5FDC"/>
    <w:rsid w:val="006A69B1"/>
    <w:rsid w:val="006A6E04"/>
    <w:rsid w:val="006A72C8"/>
    <w:rsid w:val="006A747E"/>
    <w:rsid w:val="006B03D8"/>
    <w:rsid w:val="006B06BB"/>
    <w:rsid w:val="006B186C"/>
    <w:rsid w:val="006B1A5F"/>
    <w:rsid w:val="006B1C00"/>
    <w:rsid w:val="006B2A02"/>
    <w:rsid w:val="006B2C8B"/>
    <w:rsid w:val="006B2F67"/>
    <w:rsid w:val="006B2F6E"/>
    <w:rsid w:val="006B3801"/>
    <w:rsid w:val="006B43A1"/>
    <w:rsid w:val="006B43E1"/>
    <w:rsid w:val="006B4855"/>
    <w:rsid w:val="006B51F2"/>
    <w:rsid w:val="006B560B"/>
    <w:rsid w:val="006B5A6C"/>
    <w:rsid w:val="006B5C1B"/>
    <w:rsid w:val="006B5FE7"/>
    <w:rsid w:val="006B6C94"/>
    <w:rsid w:val="006B7145"/>
    <w:rsid w:val="006B7D7A"/>
    <w:rsid w:val="006C0429"/>
    <w:rsid w:val="006C22C1"/>
    <w:rsid w:val="006C2539"/>
    <w:rsid w:val="006C2893"/>
    <w:rsid w:val="006C2A39"/>
    <w:rsid w:val="006C2FD5"/>
    <w:rsid w:val="006C3501"/>
    <w:rsid w:val="006C3C5E"/>
    <w:rsid w:val="006C4F59"/>
    <w:rsid w:val="006C5C53"/>
    <w:rsid w:val="006C6342"/>
    <w:rsid w:val="006C7711"/>
    <w:rsid w:val="006D18EF"/>
    <w:rsid w:val="006D272D"/>
    <w:rsid w:val="006D33A4"/>
    <w:rsid w:val="006D4CD1"/>
    <w:rsid w:val="006D5538"/>
    <w:rsid w:val="006D5623"/>
    <w:rsid w:val="006D5CF7"/>
    <w:rsid w:val="006D5D5B"/>
    <w:rsid w:val="006D6256"/>
    <w:rsid w:val="006D700D"/>
    <w:rsid w:val="006D796D"/>
    <w:rsid w:val="006E0CF2"/>
    <w:rsid w:val="006E1689"/>
    <w:rsid w:val="006E294A"/>
    <w:rsid w:val="006E2B25"/>
    <w:rsid w:val="006E3A85"/>
    <w:rsid w:val="006E4043"/>
    <w:rsid w:val="006E434A"/>
    <w:rsid w:val="006E48DC"/>
    <w:rsid w:val="006E4B30"/>
    <w:rsid w:val="006E4D87"/>
    <w:rsid w:val="006E6BD6"/>
    <w:rsid w:val="006E6C79"/>
    <w:rsid w:val="006F1FC5"/>
    <w:rsid w:val="006F2113"/>
    <w:rsid w:val="006F24B7"/>
    <w:rsid w:val="006F2F08"/>
    <w:rsid w:val="006F3211"/>
    <w:rsid w:val="006F3509"/>
    <w:rsid w:val="006F3C34"/>
    <w:rsid w:val="006F4783"/>
    <w:rsid w:val="006F54E8"/>
    <w:rsid w:val="006F57DE"/>
    <w:rsid w:val="006F5FED"/>
    <w:rsid w:val="006F71AD"/>
    <w:rsid w:val="006F736F"/>
    <w:rsid w:val="006F7870"/>
    <w:rsid w:val="006F7F7D"/>
    <w:rsid w:val="0070648F"/>
    <w:rsid w:val="00706ABD"/>
    <w:rsid w:val="00706B3D"/>
    <w:rsid w:val="00706F03"/>
    <w:rsid w:val="00707953"/>
    <w:rsid w:val="00707B64"/>
    <w:rsid w:val="00707D45"/>
    <w:rsid w:val="00710008"/>
    <w:rsid w:val="00711572"/>
    <w:rsid w:val="00711CA7"/>
    <w:rsid w:val="00712076"/>
    <w:rsid w:val="00713094"/>
    <w:rsid w:val="00714548"/>
    <w:rsid w:val="00714C8E"/>
    <w:rsid w:val="00716223"/>
    <w:rsid w:val="00716729"/>
    <w:rsid w:val="00716AE1"/>
    <w:rsid w:val="00717F5E"/>
    <w:rsid w:val="00720A72"/>
    <w:rsid w:val="00721339"/>
    <w:rsid w:val="00721722"/>
    <w:rsid w:val="0072199A"/>
    <w:rsid w:val="00721D41"/>
    <w:rsid w:val="0072204F"/>
    <w:rsid w:val="00722085"/>
    <w:rsid w:val="00722B2C"/>
    <w:rsid w:val="00722E05"/>
    <w:rsid w:val="00722EEB"/>
    <w:rsid w:val="007238F1"/>
    <w:rsid w:val="00723DB8"/>
    <w:rsid w:val="007249F8"/>
    <w:rsid w:val="00724BD9"/>
    <w:rsid w:val="007250BE"/>
    <w:rsid w:val="00725F6C"/>
    <w:rsid w:val="0072647B"/>
    <w:rsid w:val="00726BDE"/>
    <w:rsid w:val="007272ED"/>
    <w:rsid w:val="007273B4"/>
    <w:rsid w:val="00727B5F"/>
    <w:rsid w:val="00730125"/>
    <w:rsid w:val="00731360"/>
    <w:rsid w:val="007320F7"/>
    <w:rsid w:val="00732AF5"/>
    <w:rsid w:val="00732EE0"/>
    <w:rsid w:val="00735555"/>
    <w:rsid w:val="0073579F"/>
    <w:rsid w:val="00735E40"/>
    <w:rsid w:val="0073692E"/>
    <w:rsid w:val="007400EA"/>
    <w:rsid w:val="00740315"/>
    <w:rsid w:val="0074083B"/>
    <w:rsid w:val="007418B1"/>
    <w:rsid w:val="00741E6F"/>
    <w:rsid w:val="00742A02"/>
    <w:rsid w:val="00743688"/>
    <w:rsid w:val="007438CC"/>
    <w:rsid w:val="00743DCB"/>
    <w:rsid w:val="00745236"/>
    <w:rsid w:val="00745DAC"/>
    <w:rsid w:val="00746423"/>
    <w:rsid w:val="00747259"/>
    <w:rsid w:val="00750165"/>
    <w:rsid w:val="0075037F"/>
    <w:rsid w:val="00750460"/>
    <w:rsid w:val="00750F75"/>
    <w:rsid w:val="007522AE"/>
    <w:rsid w:val="00752819"/>
    <w:rsid w:val="00752DFA"/>
    <w:rsid w:val="007536DC"/>
    <w:rsid w:val="00755126"/>
    <w:rsid w:val="00755600"/>
    <w:rsid w:val="00756137"/>
    <w:rsid w:val="00756193"/>
    <w:rsid w:val="007565C1"/>
    <w:rsid w:val="0075690F"/>
    <w:rsid w:val="007570FF"/>
    <w:rsid w:val="00757270"/>
    <w:rsid w:val="007573ED"/>
    <w:rsid w:val="007577F7"/>
    <w:rsid w:val="007578AD"/>
    <w:rsid w:val="0076075D"/>
    <w:rsid w:val="00760A39"/>
    <w:rsid w:val="00760C66"/>
    <w:rsid w:val="00760D29"/>
    <w:rsid w:val="00762640"/>
    <w:rsid w:val="007630FF"/>
    <w:rsid w:val="007648FF"/>
    <w:rsid w:val="0076628A"/>
    <w:rsid w:val="00766E3A"/>
    <w:rsid w:val="007670F2"/>
    <w:rsid w:val="0076721D"/>
    <w:rsid w:val="00767658"/>
    <w:rsid w:val="00767BE5"/>
    <w:rsid w:val="00767E5F"/>
    <w:rsid w:val="0077003F"/>
    <w:rsid w:val="007708EE"/>
    <w:rsid w:val="00770B2B"/>
    <w:rsid w:val="00771086"/>
    <w:rsid w:val="007716AB"/>
    <w:rsid w:val="00771D5B"/>
    <w:rsid w:val="0077286F"/>
    <w:rsid w:val="00772A56"/>
    <w:rsid w:val="00772CD6"/>
    <w:rsid w:val="00775538"/>
    <w:rsid w:val="00775BC0"/>
    <w:rsid w:val="0077681F"/>
    <w:rsid w:val="00776D8C"/>
    <w:rsid w:val="0077785A"/>
    <w:rsid w:val="00777F32"/>
    <w:rsid w:val="007806C3"/>
    <w:rsid w:val="00780D3B"/>
    <w:rsid w:val="00780F82"/>
    <w:rsid w:val="00781156"/>
    <w:rsid w:val="00781EE0"/>
    <w:rsid w:val="007831AD"/>
    <w:rsid w:val="007831BF"/>
    <w:rsid w:val="00783D07"/>
    <w:rsid w:val="007845A0"/>
    <w:rsid w:val="007864D6"/>
    <w:rsid w:val="00786F54"/>
    <w:rsid w:val="00787280"/>
    <w:rsid w:val="007874D3"/>
    <w:rsid w:val="0079198A"/>
    <w:rsid w:val="007933E0"/>
    <w:rsid w:val="0079362B"/>
    <w:rsid w:val="0079469A"/>
    <w:rsid w:val="00794EA9"/>
    <w:rsid w:val="0079578E"/>
    <w:rsid w:val="007963B7"/>
    <w:rsid w:val="007963DB"/>
    <w:rsid w:val="00796E7F"/>
    <w:rsid w:val="00797360"/>
    <w:rsid w:val="00797660"/>
    <w:rsid w:val="007976AF"/>
    <w:rsid w:val="0079773C"/>
    <w:rsid w:val="00797A51"/>
    <w:rsid w:val="00797B0A"/>
    <w:rsid w:val="007A01CF"/>
    <w:rsid w:val="007A0B8C"/>
    <w:rsid w:val="007A0CF9"/>
    <w:rsid w:val="007A1045"/>
    <w:rsid w:val="007A17FD"/>
    <w:rsid w:val="007A2A9E"/>
    <w:rsid w:val="007A2F4C"/>
    <w:rsid w:val="007A30C4"/>
    <w:rsid w:val="007A405B"/>
    <w:rsid w:val="007A476B"/>
    <w:rsid w:val="007A509D"/>
    <w:rsid w:val="007A57E3"/>
    <w:rsid w:val="007A60B1"/>
    <w:rsid w:val="007A6E00"/>
    <w:rsid w:val="007B04EA"/>
    <w:rsid w:val="007B0617"/>
    <w:rsid w:val="007B0A7B"/>
    <w:rsid w:val="007B0ECE"/>
    <w:rsid w:val="007B1212"/>
    <w:rsid w:val="007B4081"/>
    <w:rsid w:val="007B55AE"/>
    <w:rsid w:val="007B5C93"/>
    <w:rsid w:val="007B6335"/>
    <w:rsid w:val="007B7317"/>
    <w:rsid w:val="007B77F7"/>
    <w:rsid w:val="007C0200"/>
    <w:rsid w:val="007C0B06"/>
    <w:rsid w:val="007C0CAF"/>
    <w:rsid w:val="007C0CE0"/>
    <w:rsid w:val="007C133C"/>
    <w:rsid w:val="007C15E3"/>
    <w:rsid w:val="007C16F2"/>
    <w:rsid w:val="007C5263"/>
    <w:rsid w:val="007C5279"/>
    <w:rsid w:val="007C72C4"/>
    <w:rsid w:val="007D06D5"/>
    <w:rsid w:val="007D192B"/>
    <w:rsid w:val="007D32F9"/>
    <w:rsid w:val="007D37AF"/>
    <w:rsid w:val="007D3DAE"/>
    <w:rsid w:val="007D4290"/>
    <w:rsid w:val="007D5160"/>
    <w:rsid w:val="007D5779"/>
    <w:rsid w:val="007D7429"/>
    <w:rsid w:val="007D74FE"/>
    <w:rsid w:val="007D79D2"/>
    <w:rsid w:val="007E0B3B"/>
    <w:rsid w:val="007E206D"/>
    <w:rsid w:val="007E2785"/>
    <w:rsid w:val="007E32AE"/>
    <w:rsid w:val="007E35FE"/>
    <w:rsid w:val="007E3B92"/>
    <w:rsid w:val="007E4F7A"/>
    <w:rsid w:val="007E5216"/>
    <w:rsid w:val="007E5C62"/>
    <w:rsid w:val="007E6699"/>
    <w:rsid w:val="007E6DBD"/>
    <w:rsid w:val="007E765A"/>
    <w:rsid w:val="007E7D0E"/>
    <w:rsid w:val="007F0337"/>
    <w:rsid w:val="007F04C4"/>
    <w:rsid w:val="007F1C9A"/>
    <w:rsid w:val="007F2FB2"/>
    <w:rsid w:val="007F4768"/>
    <w:rsid w:val="007F57A7"/>
    <w:rsid w:val="007F6EF7"/>
    <w:rsid w:val="007F7350"/>
    <w:rsid w:val="007F7A5F"/>
    <w:rsid w:val="00800276"/>
    <w:rsid w:val="00800727"/>
    <w:rsid w:val="00800A34"/>
    <w:rsid w:val="008016F5"/>
    <w:rsid w:val="00801FE4"/>
    <w:rsid w:val="0080276F"/>
    <w:rsid w:val="00802A9C"/>
    <w:rsid w:val="008032CE"/>
    <w:rsid w:val="00803C94"/>
    <w:rsid w:val="00804BE3"/>
    <w:rsid w:val="00805007"/>
    <w:rsid w:val="00805795"/>
    <w:rsid w:val="00806F35"/>
    <w:rsid w:val="00806F8B"/>
    <w:rsid w:val="00807176"/>
    <w:rsid w:val="00807899"/>
    <w:rsid w:val="0081005E"/>
    <w:rsid w:val="008107B4"/>
    <w:rsid w:val="008126AE"/>
    <w:rsid w:val="008128F8"/>
    <w:rsid w:val="00813F1B"/>
    <w:rsid w:val="00816845"/>
    <w:rsid w:val="008168A4"/>
    <w:rsid w:val="00816A2D"/>
    <w:rsid w:val="0081713F"/>
    <w:rsid w:val="00820932"/>
    <w:rsid w:val="00821612"/>
    <w:rsid w:val="00821897"/>
    <w:rsid w:val="00821FFD"/>
    <w:rsid w:val="00823FEA"/>
    <w:rsid w:val="00826EEA"/>
    <w:rsid w:val="008275AE"/>
    <w:rsid w:val="00830915"/>
    <w:rsid w:val="00830E82"/>
    <w:rsid w:val="00830FD0"/>
    <w:rsid w:val="0083109A"/>
    <w:rsid w:val="00831F95"/>
    <w:rsid w:val="00832BE6"/>
    <w:rsid w:val="00833328"/>
    <w:rsid w:val="00833E62"/>
    <w:rsid w:val="00836D8D"/>
    <w:rsid w:val="0084055E"/>
    <w:rsid w:val="00841123"/>
    <w:rsid w:val="00841512"/>
    <w:rsid w:val="008416A1"/>
    <w:rsid w:val="008435E4"/>
    <w:rsid w:val="00843984"/>
    <w:rsid w:val="00843ABF"/>
    <w:rsid w:val="00844581"/>
    <w:rsid w:val="0084518B"/>
    <w:rsid w:val="0084648C"/>
    <w:rsid w:val="00846E86"/>
    <w:rsid w:val="00847C02"/>
    <w:rsid w:val="0085002C"/>
    <w:rsid w:val="00851D37"/>
    <w:rsid w:val="00851FBA"/>
    <w:rsid w:val="00852703"/>
    <w:rsid w:val="00852986"/>
    <w:rsid w:val="00853A12"/>
    <w:rsid w:val="00853AD0"/>
    <w:rsid w:val="00854493"/>
    <w:rsid w:val="00854F32"/>
    <w:rsid w:val="0085562E"/>
    <w:rsid w:val="00855B1C"/>
    <w:rsid w:val="00855BA9"/>
    <w:rsid w:val="00855F8D"/>
    <w:rsid w:val="0085771B"/>
    <w:rsid w:val="00857999"/>
    <w:rsid w:val="00857AC8"/>
    <w:rsid w:val="00861AAC"/>
    <w:rsid w:val="00861C16"/>
    <w:rsid w:val="00862784"/>
    <w:rsid w:val="00862A5E"/>
    <w:rsid w:val="0086314E"/>
    <w:rsid w:val="008645C1"/>
    <w:rsid w:val="008659B7"/>
    <w:rsid w:val="00866FA5"/>
    <w:rsid w:val="008672D6"/>
    <w:rsid w:val="00870591"/>
    <w:rsid w:val="008713DB"/>
    <w:rsid w:val="0087180F"/>
    <w:rsid w:val="00873232"/>
    <w:rsid w:val="00873336"/>
    <w:rsid w:val="00874368"/>
    <w:rsid w:val="0087477D"/>
    <w:rsid w:val="00874A51"/>
    <w:rsid w:val="00874B61"/>
    <w:rsid w:val="00874B76"/>
    <w:rsid w:val="00875206"/>
    <w:rsid w:val="00875DC3"/>
    <w:rsid w:val="008760C4"/>
    <w:rsid w:val="00876741"/>
    <w:rsid w:val="00876EC5"/>
    <w:rsid w:val="00876F18"/>
    <w:rsid w:val="0087775A"/>
    <w:rsid w:val="00877D8E"/>
    <w:rsid w:val="0088005D"/>
    <w:rsid w:val="00880983"/>
    <w:rsid w:val="00881376"/>
    <w:rsid w:val="0088187C"/>
    <w:rsid w:val="00881972"/>
    <w:rsid w:val="00881CDC"/>
    <w:rsid w:val="008831D4"/>
    <w:rsid w:val="008833A4"/>
    <w:rsid w:val="00884C2A"/>
    <w:rsid w:val="00884F26"/>
    <w:rsid w:val="00886657"/>
    <w:rsid w:val="008866B1"/>
    <w:rsid w:val="00887192"/>
    <w:rsid w:val="008903FF"/>
    <w:rsid w:val="00890485"/>
    <w:rsid w:val="008905AC"/>
    <w:rsid w:val="00890C69"/>
    <w:rsid w:val="0089105C"/>
    <w:rsid w:val="00891B45"/>
    <w:rsid w:val="00891F66"/>
    <w:rsid w:val="00892911"/>
    <w:rsid w:val="00893A62"/>
    <w:rsid w:val="0089439F"/>
    <w:rsid w:val="008943C3"/>
    <w:rsid w:val="008948D1"/>
    <w:rsid w:val="008950FF"/>
    <w:rsid w:val="00895176"/>
    <w:rsid w:val="00895215"/>
    <w:rsid w:val="00895459"/>
    <w:rsid w:val="008966E1"/>
    <w:rsid w:val="00896A2C"/>
    <w:rsid w:val="00897FBB"/>
    <w:rsid w:val="008A099E"/>
    <w:rsid w:val="008A1149"/>
    <w:rsid w:val="008A22AB"/>
    <w:rsid w:val="008A2AE1"/>
    <w:rsid w:val="008A2CB5"/>
    <w:rsid w:val="008A2EB3"/>
    <w:rsid w:val="008A3410"/>
    <w:rsid w:val="008A3625"/>
    <w:rsid w:val="008A467F"/>
    <w:rsid w:val="008A4C3A"/>
    <w:rsid w:val="008A521A"/>
    <w:rsid w:val="008A5AF6"/>
    <w:rsid w:val="008A73E8"/>
    <w:rsid w:val="008B0808"/>
    <w:rsid w:val="008B0E8F"/>
    <w:rsid w:val="008B17A7"/>
    <w:rsid w:val="008B1B3D"/>
    <w:rsid w:val="008B1F00"/>
    <w:rsid w:val="008B308F"/>
    <w:rsid w:val="008B40DA"/>
    <w:rsid w:val="008B43AC"/>
    <w:rsid w:val="008B4FDA"/>
    <w:rsid w:val="008B5291"/>
    <w:rsid w:val="008B562E"/>
    <w:rsid w:val="008B5F7D"/>
    <w:rsid w:val="008B6AE6"/>
    <w:rsid w:val="008B6ED3"/>
    <w:rsid w:val="008B7032"/>
    <w:rsid w:val="008B7AAC"/>
    <w:rsid w:val="008B7EA8"/>
    <w:rsid w:val="008B7EB7"/>
    <w:rsid w:val="008C07C8"/>
    <w:rsid w:val="008C0865"/>
    <w:rsid w:val="008C0B2F"/>
    <w:rsid w:val="008C18F3"/>
    <w:rsid w:val="008C1CC7"/>
    <w:rsid w:val="008C23DD"/>
    <w:rsid w:val="008C25F5"/>
    <w:rsid w:val="008C5239"/>
    <w:rsid w:val="008D012A"/>
    <w:rsid w:val="008D0E36"/>
    <w:rsid w:val="008D1080"/>
    <w:rsid w:val="008D1EB5"/>
    <w:rsid w:val="008D1F74"/>
    <w:rsid w:val="008D3B2D"/>
    <w:rsid w:val="008D3CB1"/>
    <w:rsid w:val="008D44F6"/>
    <w:rsid w:val="008D4F24"/>
    <w:rsid w:val="008D5361"/>
    <w:rsid w:val="008D5AE5"/>
    <w:rsid w:val="008D61F4"/>
    <w:rsid w:val="008D6F4A"/>
    <w:rsid w:val="008D7236"/>
    <w:rsid w:val="008E0B70"/>
    <w:rsid w:val="008E0DF7"/>
    <w:rsid w:val="008E0E91"/>
    <w:rsid w:val="008E117E"/>
    <w:rsid w:val="008E189D"/>
    <w:rsid w:val="008E20B1"/>
    <w:rsid w:val="008E2896"/>
    <w:rsid w:val="008E3297"/>
    <w:rsid w:val="008E6002"/>
    <w:rsid w:val="008E62CC"/>
    <w:rsid w:val="008E68A8"/>
    <w:rsid w:val="008E6AD9"/>
    <w:rsid w:val="008E6B7C"/>
    <w:rsid w:val="008E7B2A"/>
    <w:rsid w:val="008E7FCA"/>
    <w:rsid w:val="008F06AE"/>
    <w:rsid w:val="008F13C3"/>
    <w:rsid w:val="008F2741"/>
    <w:rsid w:val="008F28E4"/>
    <w:rsid w:val="008F3607"/>
    <w:rsid w:val="008F3E16"/>
    <w:rsid w:val="008F4521"/>
    <w:rsid w:val="008F5000"/>
    <w:rsid w:val="008F5B5E"/>
    <w:rsid w:val="008F6FAE"/>
    <w:rsid w:val="00900413"/>
    <w:rsid w:val="00901060"/>
    <w:rsid w:val="009011C1"/>
    <w:rsid w:val="00901313"/>
    <w:rsid w:val="00901373"/>
    <w:rsid w:val="00902B0B"/>
    <w:rsid w:val="00902EE4"/>
    <w:rsid w:val="00902F0F"/>
    <w:rsid w:val="0090430D"/>
    <w:rsid w:val="0090448C"/>
    <w:rsid w:val="00904B23"/>
    <w:rsid w:val="00905883"/>
    <w:rsid w:val="00905CE3"/>
    <w:rsid w:val="00906165"/>
    <w:rsid w:val="009061AB"/>
    <w:rsid w:val="009068A9"/>
    <w:rsid w:val="00906C20"/>
    <w:rsid w:val="009071F4"/>
    <w:rsid w:val="00910BC3"/>
    <w:rsid w:val="00910CCE"/>
    <w:rsid w:val="00912CAA"/>
    <w:rsid w:val="00913A99"/>
    <w:rsid w:val="0091653A"/>
    <w:rsid w:val="00916726"/>
    <w:rsid w:val="00917646"/>
    <w:rsid w:val="00920E7B"/>
    <w:rsid w:val="00923BA5"/>
    <w:rsid w:val="009242F5"/>
    <w:rsid w:val="00925295"/>
    <w:rsid w:val="009254F7"/>
    <w:rsid w:val="00926175"/>
    <w:rsid w:val="00926AB6"/>
    <w:rsid w:val="00927121"/>
    <w:rsid w:val="0092735B"/>
    <w:rsid w:val="0092791C"/>
    <w:rsid w:val="00927B2F"/>
    <w:rsid w:val="0093021B"/>
    <w:rsid w:val="00930723"/>
    <w:rsid w:val="00932055"/>
    <w:rsid w:val="00932325"/>
    <w:rsid w:val="009333EB"/>
    <w:rsid w:val="009335F7"/>
    <w:rsid w:val="00933620"/>
    <w:rsid w:val="0093447E"/>
    <w:rsid w:val="00934714"/>
    <w:rsid w:val="00936240"/>
    <w:rsid w:val="00936CDC"/>
    <w:rsid w:val="009372D5"/>
    <w:rsid w:val="0094026E"/>
    <w:rsid w:val="0094204F"/>
    <w:rsid w:val="0094385D"/>
    <w:rsid w:val="00943AC8"/>
    <w:rsid w:val="00943C6F"/>
    <w:rsid w:val="00944536"/>
    <w:rsid w:val="00944640"/>
    <w:rsid w:val="00945347"/>
    <w:rsid w:val="0094536F"/>
    <w:rsid w:val="00945715"/>
    <w:rsid w:val="009457A4"/>
    <w:rsid w:val="0094616A"/>
    <w:rsid w:val="0094620B"/>
    <w:rsid w:val="00946E45"/>
    <w:rsid w:val="00946F10"/>
    <w:rsid w:val="00950747"/>
    <w:rsid w:val="00950B29"/>
    <w:rsid w:val="00951706"/>
    <w:rsid w:val="009524B8"/>
    <w:rsid w:val="0095269C"/>
    <w:rsid w:val="009527BE"/>
    <w:rsid w:val="00953A66"/>
    <w:rsid w:val="009541C3"/>
    <w:rsid w:val="0095508C"/>
    <w:rsid w:val="009554B9"/>
    <w:rsid w:val="00956EAF"/>
    <w:rsid w:val="00956F6C"/>
    <w:rsid w:val="00957414"/>
    <w:rsid w:val="00957D35"/>
    <w:rsid w:val="00960835"/>
    <w:rsid w:val="00961175"/>
    <w:rsid w:val="00961D62"/>
    <w:rsid w:val="00962667"/>
    <w:rsid w:val="0096268C"/>
    <w:rsid w:val="00963327"/>
    <w:rsid w:val="00963B01"/>
    <w:rsid w:val="00964125"/>
    <w:rsid w:val="0096417E"/>
    <w:rsid w:val="009654DC"/>
    <w:rsid w:val="0096593C"/>
    <w:rsid w:val="009660ED"/>
    <w:rsid w:val="00966FCE"/>
    <w:rsid w:val="009676EC"/>
    <w:rsid w:val="0097045F"/>
    <w:rsid w:val="00970755"/>
    <w:rsid w:val="00970DCD"/>
    <w:rsid w:val="00971765"/>
    <w:rsid w:val="00971AB9"/>
    <w:rsid w:val="00971E48"/>
    <w:rsid w:val="00971F3F"/>
    <w:rsid w:val="00971FB4"/>
    <w:rsid w:val="00972363"/>
    <w:rsid w:val="00973EBB"/>
    <w:rsid w:val="00975BF1"/>
    <w:rsid w:val="00975CA3"/>
    <w:rsid w:val="009765D5"/>
    <w:rsid w:val="0097699B"/>
    <w:rsid w:val="009775E3"/>
    <w:rsid w:val="00977913"/>
    <w:rsid w:val="00977BA7"/>
    <w:rsid w:val="00977CEA"/>
    <w:rsid w:val="00981505"/>
    <w:rsid w:val="009827AB"/>
    <w:rsid w:val="00982DE3"/>
    <w:rsid w:val="0098395E"/>
    <w:rsid w:val="00984762"/>
    <w:rsid w:val="009847F4"/>
    <w:rsid w:val="00984BA9"/>
    <w:rsid w:val="00984F2D"/>
    <w:rsid w:val="00985004"/>
    <w:rsid w:val="009856B8"/>
    <w:rsid w:val="00985F50"/>
    <w:rsid w:val="009867D5"/>
    <w:rsid w:val="009869E1"/>
    <w:rsid w:val="00986A2E"/>
    <w:rsid w:val="009905CA"/>
    <w:rsid w:val="00990E72"/>
    <w:rsid w:val="0099121C"/>
    <w:rsid w:val="009923B2"/>
    <w:rsid w:val="00992A8B"/>
    <w:rsid w:val="009936A1"/>
    <w:rsid w:val="009937B3"/>
    <w:rsid w:val="00994737"/>
    <w:rsid w:val="00997872"/>
    <w:rsid w:val="00997FA0"/>
    <w:rsid w:val="009A096B"/>
    <w:rsid w:val="009A0FF0"/>
    <w:rsid w:val="009A19D2"/>
    <w:rsid w:val="009A19DD"/>
    <w:rsid w:val="009A1DC3"/>
    <w:rsid w:val="009A1E7B"/>
    <w:rsid w:val="009A31B6"/>
    <w:rsid w:val="009A3B16"/>
    <w:rsid w:val="009A45DA"/>
    <w:rsid w:val="009A60F4"/>
    <w:rsid w:val="009A6BB5"/>
    <w:rsid w:val="009B01C8"/>
    <w:rsid w:val="009B03D7"/>
    <w:rsid w:val="009B1881"/>
    <w:rsid w:val="009B1E12"/>
    <w:rsid w:val="009B3784"/>
    <w:rsid w:val="009B3D3C"/>
    <w:rsid w:val="009B3F51"/>
    <w:rsid w:val="009B481C"/>
    <w:rsid w:val="009B4D4D"/>
    <w:rsid w:val="009B500A"/>
    <w:rsid w:val="009B62D5"/>
    <w:rsid w:val="009C0170"/>
    <w:rsid w:val="009C0267"/>
    <w:rsid w:val="009C0FAB"/>
    <w:rsid w:val="009C1819"/>
    <w:rsid w:val="009C1AAC"/>
    <w:rsid w:val="009C21FE"/>
    <w:rsid w:val="009C233E"/>
    <w:rsid w:val="009C2A3F"/>
    <w:rsid w:val="009C2B1D"/>
    <w:rsid w:val="009C315E"/>
    <w:rsid w:val="009C323E"/>
    <w:rsid w:val="009C43A8"/>
    <w:rsid w:val="009C55BF"/>
    <w:rsid w:val="009C5659"/>
    <w:rsid w:val="009C5A37"/>
    <w:rsid w:val="009C5A9E"/>
    <w:rsid w:val="009C5B8C"/>
    <w:rsid w:val="009C5DEE"/>
    <w:rsid w:val="009C717F"/>
    <w:rsid w:val="009C7B56"/>
    <w:rsid w:val="009C7D08"/>
    <w:rsid w:val="009C7F58"/>
    <w:rsid w:val="009D0C4B"/>
    <w:rsid w:val="009D28CA"/>
    <w:rsid w:val="009D43A7"/>
    <w:rsid w:val="009D51DD"/>
    <w:rsid w:val="009D54C7"/>
    <w:rsid w:val="009D76A8"/>
    <w:rsid w:val="009E0C8D"/>
    <w:rsid w:val="009E13E0"/>
    <w:rsid w:val="009E1A0C"/>
    <w:rsid w:val="009E1E7D"/>
    <w:rsid w:val="009E216A"/>
    <w:rsid w:val="009E27BA"/>
    <w:rsid w:val="009E2A43"/>
    <w:rsid w:val="009E2FDC"/>
    <w:rsid w:val="009E31DC"/>
    <w:rsid w:val="009E4147"/>
    <w:rsid w:val="009E4865"/>
    <w:rsid w:val="009E4A5D"/>
    <w:rsid w:val="009E4CAB"/>
    <w:rsid w:val="009E4DF7"/>
    <w:rsid w:val="009E5A86"/>
    <w:rsid w:val="009E5E06"/>
    <w:rsid w:val="009E6160"/>
    <w:rsid w:val="009E6E1F"/>
    <w:rsid w:val="009E70FF"/>
    <w:rsid w:val="009E7875"/>
    <w:rsid w:val="009E7C12"/>
    <w:rsid w:val="009F078C"/>
    <w:rsid w:val="009F095F"/>
    <w:rsid w:val="009F17D8"/>
    <w:rsid w:val="009F303B"/>
    <w:rsid w:val="009F3631"/>
    <w:rsid w:val="009F490A"/>
    <w:rsid w:val="009F49D8"/>
    <w:rsid w:val="009F6B95"/>
    <w:rsid w:val="009F75ED"/>
    <w:rsid w:val="009F7873"/>
    <w:rsid w:val="00A00684"/>
    <w:rsid w:val="00A037B5"/>
    <w:rsid w:val="00A04455"/>
    <w:rsid w:val="00A04B9A"/>
    <w:rsid w:val="00A04D93"/>
    <w:rsid w:val="00A052A8"/>
    <w:rsid w:val="00A0608E"/>
    <w:rsid w:val="00A10AD2"/>
    <w:rsid w:val="00A1242A"/>
    <w:rsid w:val="00A12712"/>
    <w:rsid w:val="00A132C7"/>
    <w:rsid w:val="00A13A9F"/>
    <w:rsid w:val="00A13D64"/>
    <w:rsid w:val="00A13E62"/>
    <w:rsid w:val="00A1408B"/>
    <w:rsid w:val="00A1437D"/>
    <w:rsid w:val="00A14467"/>
    <w:rsid w:val="00A14D35"/>
    <w:rsid w:val="00A152B6"/>
    <w:rsid w:val="00A17CE0"/>
    <w:rsid w:val="00A201DF"/>
    <w:rsid w:val="00A21C0B"/>
    <w:rsid w:val="00A21CD0"/>
    <w:rsid w:val="00A22BEB"/>
    <w:rsid w:val="00A234F0"/>
    <w:rsid w:val="00A23CE1"/>
    <w:rsid w:val="00A2452C"/>
    <w:rsid w:val="00A24FAD"/>
    <w:rsid w:val="00A26510"/>
    <w:rsid w:val="00A26F8E"/>
    <w:rsid w:val="00A308D1"/>
    <w:rsid w:val="00A3163C"/>
    <w:rsid w:val="00A31E41"/>
    <w:rsid w:val="00A32056"/>
    <w:rsid w:val="00A32A78"/>
    <w:rsid w:val="00A32BD4"/>
    <w:rsid w:val="00A338BD"/>
    <w:rsid w:val="00A33B7E"/>
    <w:rsid w:val="00A342BD"/>
    <w:rsid w:val="00A352CA"/>
    <w:rsid w:val="00A355CA"/>
    <w:rsid w:val="00A35A71"/>
    <w:rsid w:val="00A35CB2"/>
    <w:rsid w:val="00A3632D"/>
    <w:rsid w:val="00A37BA5"/>
    <w:rsid w:val="00A37CC0"/>
    <w:rsid w:val="00A401D3"/>
    <w:rsid w:val="00A40577"/>
    <w:rsid w:val="00A4085E"/>
    <w:rsid w:val="00A40CB9"/>
    <w:rsid w:val="00A4291D"/>
    <w:rsid w:val="00A44BD4"/>
    <w:rsid w:val="00A456E5"/>
    <w:rsid w:val="00A458A2"/>
    <w:rsid w:val="00A45C7B"/>
    <w:rsid w:val="00A46895"/>
    <w:rsid w:val="00A46E01"/>
    <w:rsid w:val="00A4738A"/>
    <w:rsid w:val="00A4761E"/>
    <w:rsid w:val="00A52D51"/>
    <w:rsid w:val="00A52DCF"/>
    <w:rsid w:val="00A534C3"/>
    <w:rsid w:val="00A53A62"/>
    <w:rsid w:val="00A53E5C"/>
    <w:rsid w:val="00A54111"/>
    <w:rsid w:val="00A543BB"/>
    <w:rsid w:val="00A55C64"/>
    <w:rsid w:val="00A5601C"/>
    <w:rsid w:val="00A5653C"/>
    <w:rsid w:val="00A576EF"/>
    <w:rsid w:val="00A61862"/>
    <w:rsid w:val="00A62099"/>
    <w:rsid w:val="00A62A74"/>
    <w:rsid w:val="00A633B4"/>
    <w:rsid w:val="00A6377A"/>
    <w:rsid w:val="00A63943"/>
    <w:rsid w:val="00A63A7A"/>
    <w:rsid w:val="00A63B03"/>
    <w:rsid w:val="00A646C0"/>
    <w:rsid w:val="00A6487F"/>
    <w:rsid w:val="00A6507E"/>
    <w:rsid w:val="00A656C8"/>
    <w:rsid w:val="00A668EA"/>
    <w:rsid w:val="00A66FAB"/>
    <w:rsid w:val="00A6717B"/>
    <w:rsid w:val="00A6763E"/>
    <w:rsid w:val="00A678AD"/>
    <w:rsid w:val="00A70391"/>
    <w:rsid w:val="00A71ABC"/>
    <w:rsid w:val="00A72821"/>
    <w:rsid w:val="00A72E25"/>
    <w:rsid w:val="00A7337B"/>
    <w:rsid w:val="00A743B6"/>
    <w:rsid w:val="00A74876"/>
    <w:rsid w:val="00A7495F"/>
    <w:rsid w:val="00A764F0"/>
    <w:rsid w:val="00A76744"/>
    <w:rsid w:val="00A779C9"/>
    <w:rsid w:val="00A808F5"/>
    <w:rsid w:val="00A8129A"/>
    <w:rsid w:val="00A8189F"/>
    <w:rsid w:val="00A82B23"/>
    <w:rsid w:val="00A845AF"/>
    <w:rsid w:val="00A85257"/>
    <w:rsid w:val="00A85343"/>
    <w:rsid w:val="00A85A58"/>
    <w:rsid w:val="00A85C14"/>
    <w:rsid w:val="00A87800"/>
    <w:rsid w:val="00A90691"/>
    <w:rsid w:val="00A90A05"/>
    <w:rsid w:val="00A912C5"/>
    <w:rsid w:val="00A91A16"/>
    <w:rsid w:val="00A91D64"/>
    <w:rsid w:val="00A93771"/>
    <w:rsid w:val="00A93FD3"/>
    <w:rsid w:val="00A94275"/>
    <w:rsid w:val="00A946AF"/>
    <w:rsid w:val="00A96237"/>
    <w:rsid w:val="00A96605"/>
    <w:rsid w:val="00A97482"/>
    <w:rsid w:val="00A9772D"/>
    <w:rsid w:val="00AA0181"/>
    <w:rsid w:val="00AA030F"/>
    <w:rsid w:val="00AA2114"/>
    <w:rsid w:val="00AA2DB5"/>
    <w:rsid w:val="00AA2E5D"/>
    <w:rsid w:val="00AA32E2"/>
    <w:rsid w:val="00AA3CD6"/>
    <w:rsid w:val="00AA405E"/>
    <w:rsid w:val="00AA4EE2"/>
    <w:rsid w:val="00AA51FC"/>
    <w:rsid w:val="00AA589F"/>
    <w:rsid w:val="00AA606B"/>
    <w:rsid w:val="00AA6154"/>
    <w:rsid w:val="00AA6518"/>
    <w:rsid w:val="00AA67F7"/>
    <w:rsid w:val="00AA6FD3"/>
    <w:rsid w:val="00AA77B1"/>
    <w:rsid w:val="00AB1043"/>
    <w:rsid w:val="00AB1491"/>
    <w:rsid w:val="00AB228E"/>
    <w:rsid w:val="00AB281E"/>
    <w:rsid w:val="00AB3D59"/>
    <w:rsid w:val="00AB453A"/>
    <w:rsid w:val="00AB5126"/>
    <w:rsid w:val="00AB5559"/>
    <w:rsid w:val="00AB5B52"/>
    <w:rsid w:val="00AB7231"/>
    <w:rsid w:val="00AB7584"/>
    <w:rsid w:val="00AB7B6E"/>
    <w:rsid w:val="00AC06DB"/>
    <w:rsid w:val="00AC0AD9"/>
    <w:rsid w:val="00AC0EC9"/>
    <w:rsid w:val="00AC1916"/>
    <w:rsid w:val="00AC215A"/>
    <w:rsid w:val="00AC21CB"/>
    <w:rsid w:val="00AC28FD"/>
    <w:rsid w:val="00AC4282"/>
    <w:rsid w:val="00AC7861"/>
    <w:rsid w:val="00AD1CA1"/>
    <w:rsid w:val="00AD23D0"/>
    <w:rsid w:val="00AD2D0D"/>
    <w:rsid w:val="00AD2FAE"/>
    <w:rsid w:val="00AD346C"/>
    <w:rsid w:val="00AD36C1"/>
    <w:rsid w:val="00AD506D"/>
    <w:rsid w:val="00AD5290"/>
    <w:rsid w:val="00AD570D"/>
    <w:rsid w:val="00AD6586"/>
    <w:rsid w:val="00AD6BF6"/>
    <w:rsid w:val="00AD6CB4"/>
    <w:rsid w:val="00AD75A5"/>
    <w:rsid w:val="00AD7D54"/>
    <w:rsid w:val="00AE0702"/>
    <w:rsid w:val="00AE1FDD"/>
    <w:rsid w:val="00AE208A"/>
    <w:rsid w:val="00AE239A"/>
    <w:rsid w:val="00AE311B"/>
    <w:rsid w:val="00AE349B"/>
    <w:rsid w:val="00AE365E"/>
    <w:rsid w:val="00AE3E42"/>
    <w:rsid w:val="00AE573B"/>
    <w:rsid w:val="00AE7A14"/>
    <w:rsid w:val="00AF0BF9"/>
    <w:rsid w:val="00AF1083"/>
    <w:rsid w:val="00AF1F84"/>
    <w:rsid w:val="00AF26E5"/>
    <w:rsid w:val="00AF31BD"/>
    <w:rsid w:val="00AF4684"/>
    <w:rsid w:val="00AF46EC"/>
    <w:rsid w:val="00AF475B"/>
    <w:rsid w:val="00AF4A80"/>
    <w:rsid w:val="00AF5B7F"/>
    <w:rsid w:val="00AF5BF8"/>
    <w:rsid w:val="00AF68AD"/>
    <w:rsid w:val="00B00093"/>
    <w:rsid w:val="00B0152E"/>
    <w:rsid w:val="00B02064"/>
    <w:rsid w:val="00B02412"/>
    <w:rsid w:val="00B0393C"/>
    <w:rsid w:val="00B03D6F"/>
    <w:rsid w:val="00B03EBA"/>
    <w:rsid w:val="00B053BE"/>
    <w:rsid w:val="00B0549F"/>
    <w:rsid w:val="00B066CC"/>
    <w:rsid w:val="00B06B01"/>
    <w:rsid w:val="00B074E9"/>
    <w:rsid w:val="00B101B5"/>
    <w:rsid w:val="00B10276"/>
    <w:rsid w:val="00B128D7"/>
    <w:rsid w:val="00B13B0F"/>
    <w:rsid w:val="00B14727"/>
    <w:rsid w:val="00B14C5D"/>
    <w:rsid w:val="00B14E45"/>
    <w:rsid w:val="00B14FDA"/>
    <w:rsid w:val="00B1630E"/>
    <w:rsid w:val="00B16C9E"/>
    <w:rsid w:val="00B16D89"/>
    <w:rsid w:val="00B170F9"/>
    <w:rsid w:val="00B17102"/>
    <w:rsid w:val="00B17BE0"/>
    <w:rsid w:val="00B2005C"/>
    <w:rsid w:val="00B207BA"/>
    <w:rsid w:val="00B20A13"/>
    <w:rsid w:val="00B21D0F"/>
    <w:rsid w:val="00B23DB2"/>
    <w:rsid w:val="00B2431A"/>
    <w:rsid w:val="00B249BB"/>
    <w:rsid w:val="00B25195"/>
    <w:rsid w:val="00B25904"/>
    <w:rsid w:val="00B2693B"/>
    <w:rsid w:val="00B27D15"/>
    <w:rsid w:val="00B31B3F"/>
    <w:rsid w:val="00B33264"/>
    <w:rsid w:val="00B334AB"/>
    <w:rsid w:val="00B34CCC"/>
    <w:rsid w:val="00B34DFF"/>
    <w:rsid w:val="00B35210"/>
    <w:rsid w:val="00B359B1"/>
    <w:rsid w:val="00B35C86"/>
    <w:rsid w:val="00B364DA"/>
    <w:rsid w:val="00B400C1"/>
    <w:rsid w:val="00B403AD"/>
    <w:rsid w:val="00B40474"/>
    <w:rsid w:val="00B40953"/>
    <w:rsid w:val="00B40B69"/>
    <w:rsid w:val="00B413EB"/>
    <w:rsid w:val="00B41B48"/>
    <w:rsid w:val="00B428F0"/>
    <w:rsid w:val="00B42AF8"/>
    <w:rsid w:val="00B42D39"/>
    <w:rsid w:val="00B43C34"/>
    <w:rsid w:val="00B44216"/>
    <w:rsid w:val="00B4481E"/>
    <w:rsid w:val="00B4515A"/>
    <w:rsid w:val="00B45537"/>
    <w:rsid w:val="00B46268"/>
    <w:rsid w:val="00B46F9C"/>
    <w:rsid w:val="00B47D35"/>
    <w:rsid w:val="00B50C23"/>
    <w:rsid w:val="00B52364"/>
    <w:rsid w:val="00B52DBC"/>
    <w:rsid w:val="00B53E82"/>
    <w:rsid w:val="00B5436B"/>
    <w:rsid w:val="00B55473"/>
    <w:rsid w:val="00B5576F"/>
    <w:rsid w:val="00B559A9"/>
    <w:rsid w:val="00B57419"/>
    <w:rsid w:val="00B57B7B"/>
    <w:rsid w:val="00B60984"/>
    <w:rsid w:val="00B615C1"/>
    <w:rsid w:val="00B61E22"/>
    <w:rsid w:val="00B631C9"/>
    <w:rsid w:val="00B63353"/>
    <w:rsid w:val="00B63C0C"/>
    <w:rsid w:val="00B64250"/>
    <w:rsid w:val="00B64876"/>
    <w:rsid w:val="00B64985"/>
    <w:rsid w:val="00B64C0D"/>
    <w:rsid w:val="00B64EFC"/>
    <w:rsid w:val="00B6558D"/>
    <w:rsid w:val="00B6590C"/>
    <w:rsid w:val="00B7058D"/>
    <w:rsid w:val="00B70950"/>
    <w:rsid w:val="00B7182C"/>
    <w:rsid w:val="00B71EA5"/>
    <w:rsid w:val="00B723BA"/>
    <w:rsid w:val="00B72924"/>
    <w:rsid w:val="00B741B2"/>
    <w:rsid w:val="00B74224"/>
    <w:rsid w:val="00B756F1"/>
    <w:rsid w:val="00B770A7"/>
    <w:rsid w:val="00B775B3"/>
    <w:rsid w:val="00B77B28"/>
    <w:rsid w:val="00B77F04"/>
    <w:rsid w:val="00B806D0"/>
    <w:rsid w:val="00B808FE"/>
    <w:rsid w:val="00B80A75"/>
    <w:rsid w:val="00B81B48"/>
    <w:rsid w:val="00B832BF"/>
    <w:rsid w:val="00B8373B"/>
    <w:rsid w:val="00B843BD"/>
    <w:rsid w:val="00B8541F"/>
    <w:rsid w:val="00B869BC"/>
    <w:rsid w:val="00B91601"/>
    <w:rsid w:val="00B91F8C"/>
    <w:rsid w:val="00B9238D"/>
    <w:rsid w:val="00B9415A"/>
    <w:rsid w:val="00B978B1"/>
    <w:rsid w:val="00BA1289"/>
    <w:rsid w:val="00BA1675"/>
    <w:rsid w:val="00BA1943"/>
    <w:rsid w:val="00BA22D4"/>
    <w:rsid w:val="00BA2A90"/>
    <w:rsid w:val="00BA2EAF"/>
    <w:rsid w:val="00BA3A65"/>
    <w:rsid w:val="00BA411D"/>
    <w:rsid w:val="00BA5CBE"/>
    <w:rsid w:val="00BA67C8"/>
    <w:rsid w:val="00BA741A"/>
    <w:rsid w:val="00BB040A"/>
    <w:rsid w:val="00BB056B"/>
    <w:rsid w:val="00BB0976"/>
    <w:rsid w:val="00BB123B"/>
    <w:rsid w:val="00BB12D6"/>
    <w:rsid w:val="00BB1A0E"/>
    <w:rsid w:val="00BB25B6"/>
    <w:rsid w:val="00BB3000"/>
    <w:rsid w:val="00BB3381"/>
    <w:rsid w:val="00BB419B"/>
    <w:rsid w:val="00BB5294"/>
    <w:rsid w:val="00BB53DD"/>
    <w:rsid w:val="00BB5F30"/>
    <w:rsid w:val="00BB652C"/>
    <w:rsid w:val="00BB66EC"/>
    <w:rsid w:val="00BC073A"/>
    <w:rsid w:val="00BC1514"/>
    <w:rsid w:val="00BC1756"/>
    <w:rsid w:val="00BC243F"/>
    <w:rsid w:val="00BC2E11"/>
    <w:rsid w:val="00BC31B5"/>
    <w:rsid w:val="00BC3A70"/>
    <w:rsid w:val="00BC5219"/>
    <w:rsid w:val="00BC58AF"/>
    <w:rsid w:val="00BC61A2"/>
    <w:rsid w:val="00BC736B"/>
    <w:rsid w:val="00BC7449"/>
    <w:rsid w:val="00BD0B03"/>
    <w:rsid w:val="00BD24E4"/>
    <w:rsid w:val="00BD28FE"/>
    <w:rsid w:val="00BD2F61"/>
    <w:rsid w:val="00BD37D2"/>
    <w:rsid w:val="00BD44A1"/>
    <w:rsid w:val="00BD52AA"/>
    <w:rsid w:val="00BD5D15"/>
    <w:rsid w:val="00BD66FF"/>
    <w:rsid w:val="00BD7FCF"/>
    <w:rsid w:val="00BE03CE"/>
    <w:rsid w:val="00BE056B"/>
    <w:rsid w:val="00BE07DB"/>
    <w:rsid w:val="00BE0AC4"/>
    <w:rsid w:val="00BE3886"/>
    <w:rsid w:val="00BE41EA"/>
    <w:rsid w:val="00BE4747"/>
    <w:rsid w:val="00BE509F"/>
    <w:rsid w:val="00BE68BE"/>
    <w:rsid w:val="00BE709C"/>
    <w:rsid w:val="00BE710D"/>
    <w:rsid w:val="00BF0926"/>
    <w:rsid w:val="00BF1065"/>
    <w:rsid w:val="00BF15DC"/>
    <w:rsid w:val="00BF1E78"/>
    <w:rsid w:val="00BF2256"/>
    <w:rsid w:val="00BF3155"/>
    <w:rsid w:val="00BF32B1"/>
    <w:rsid w:val="00BF3FBE"/>
    <w:rsid w:val="00BF429A"/>
    <w:rsid w:val="00BF49AD"/>
    <w:rsid w:val="00BF4AC4"/>
    <w:rsid w:val="00BF58A5"/>
    <w:rsid w:val="00BF5C7C"/>
    <w:rsid w:val="00BF5EF0"/>
    <w:rsid w:val="00C01755"/>
    <w:rsid w:val="00C02D61"/>
    <w:rsid w:val="00C02E5C"/>
    <w:rsid w:val="00C03434"/>
    <w:rsid w:val="00C034BF"/>
    <w:rsid w:val="00C03BFA"/>
    <w:rsid w:val="00C03F21"/>
    <w:rsid w:val="00C04465"/>
    <w:rsid w:val="00C044AD"/>
    <w:rsid w:val="00C048A5"/>
    <w:rsid w:val="00C04980"/>
    <w:rsid w:val="00C056E2"/>
    <w:rsid w:val="00C05CCE"/>
    <w:rsid w:val="00C06865"/>
    <w:rsid w:val="00C12017"/>
    <w:rsid w:val="00C1271A"/>
    <w:rsid w:val="00C131D0"/>
    <w:rsid w:val="00C13459"/>
    <w:rsid w:val="00C13DEB"/>
    <w:rsid w:val="00C1552A"/>
    <w:rsid w:val="00C15C12"/>
    <w:rsid w:val="00C15E7E"/>
    <w:rsid w:val="00C175F2"/>
    <w:rsid w:val="00C1777F"/>
    <w:rsid w:val="00C210FC"/>
    <w:rsid w:val="00C2126B"/>
    <w:rsid w:val="00C21B2C"/>
    <w:rsid w:val="00C21C67"/>
    <w:rsid w:val="00C22418"/>
    <w:rsid w:val="00C2389C"/>
    <w:rsid w:val="00C24E0C"/>
    <w:rsid w:val="00C25395"/>
    <w:rsid w:val="00C2547E"/>
    <w:rsid w:val="00C30249"/>
    <w:rsid w:val="00C30A05"/>
    <w:rsid w:val="00C31BF2"/>
    <w:rsid w:val="00C32220"/>
    <w:rsid w:val="00C33127"/>
    <w:rsid w:val="00C336D4"/>
    <w:rsid w:val="00C340F0"/>
    <w:rsid w:val="00C34809"/>
    <w:rsid w:val="00C34C19"/>
    <w:rsid w:val="00C34F3C"/>
    <w:rsid w:val="00C35214"/>
    <w:rsid w:val="00C36039"/>
    <w:rsid w:val="00C3676A"/>
    <w:rsid w:val="00C3747B"/>
    <w:rsid w:val="00C37AD5"/>
    <w:rsid w:val="00C37D02"/>
    <w:rsid w:val="00C41514"/>
    <w:rsid w:val="00C41F5F"/>
    <w:rsid w:val="00C42C70"/>
    <w:rsid w:val="00C43340"/>
    <w:rsid w:val="00C433A1"/>
    <w:rsid w:val="00C44810"/>
    <w:rsid w:val="00C44A30"/>
    <w:rsid w:val="00C4514D"/>
    <w:rsid w:val="00C45DF3"/>
    <w:rsid w:val="00C45E29"/>
    <w:rsid w:val="00C46AF2"/>
    <w:rsid w:val="00C46B53"/>
    <w:rsid w:val="00C47999"/>
    <w:rsid w:val="00C47E70"/>
    <w:rsid w:val="00C5064C"/>
    <w:rsid w:val="00C50EE0"/>
    <w:rsid w:val="00C510D6"/>
    <w:rsid w:val="00C51E57"/>
    <w:rsid w:val="00C52CF1"/>
    <w:rsid w:val="00C538AC"/>
    <w:rsid w:val="00C54AA0"/>
    <w:rsid w:val="00C55C07"/>
    <w:rsid w:val="00C5655F"/>
    <w:rsid w:val="00C5680B"/>
    <w:rsid w:val="00C5753C"/>
    <w:rsid w:val="00C603DB"/>
    <w:rsid w:val="00C608DD"/>
    <w:rsid w:val="00C60922"/>
    <w:rsid w:val="00C60B51"/>
    <w:rsid w:val="00C60F1D"/>
    <w:rsid w:val="00C6111D"/>
    <w:rsid w:val="00C62448"/>
    <w:rsid w:val="00C62FEC"/>
    <w:rsid w:val="00C63110"/>
    <w:rsid w:val="00C63906"/>
    <w:rsid w:val="00C6390A"/>
    <w:rsid w:val="00C64A07"/>
    <w:rsid w:val="00C64E67"/>
    <w:rsid w:val="00C65CB1"/>
    <w:rsid w:val="00C65E27"/>
    <w:rsid w:val="00C667D8"/>
    <w:rsid w:val="00C66B5B"/>
    <w:rsid w:val="00C672B7"/>
    <w:rsid w:val="00C67942"/>
    <w:rsid w:val="00C7018D"/>
    <w:rsid w:val="00C70CB2"/>
    <w:rsid w:val="00C712E0"/>
    <w:rsid w:val="00C71563"/>
    <w:rsid w:val="00C721D5"/>
    <w:rsid w:val="00C7261D"/>
    <w:rsid w:val="00C727AA"/>
    <w:rsid w:val="00C7303D"/>
    <w:rsid w:val="00C7357B"/>
    <w:rsid w:val="00C74691"/>
    <w:rsid w:val="00C74BA9"/>
    <w:rsid w:val="00C75632"/>
    <w:rsid w:val="00C75DB0"/>
    <w:rsid w:val="00C764D0"/>
    <w:rsid w:val="00C772D4"/>
    <w:rsid w:val="00C800B4"/>
    <w:rsid w:val="00C814BB"/>
    <w:rsid w:val="00C822C4"/>
    <w:rsid w:val="00C824D8"/>
    <w:rsid w:val="00C82EA7"/>
    <w:rsid w:val="00C82F9F"/>
    <w:rsid w:val="00C838A0"/>
    <w:rsid w:val="00C8403C"/>
    <w:rsid w:val="00C841EE"/>
    <w:rsid w:val="00C845E6"/>
    <w:rsid w:val="00C84AAE"/>
    <w:rsid w:val="00C858EA"/>
    <w:rsid w:val="00C85AFF"/>
    <w:rsid w:val="00C85C39"/>
    <w:rsid w:val="00C871C3"/>
    <w:rsid w:val="00C91124"/>
    <w:rsid w:val="00C91D5D"/>
    <w:rsid w:val="00C9210A"/>
    <w:rsid w:val="00C92D6D"/>
    <w:rsid w:val="00C9476A"/>
    <w:rsid w:val="00C94FEA"/>
    <w:rsid w:val="00C958AF"/>
    <w:rsid w:val="00C96DF3"/>
    <w:rsid w:val="00C9714B"/>
    <w:rsid w:val="00C97933"/>
    <w:rsid w:val="00C97935"/>
    <w:rsid w:val="00CA0A37"/>
    <w:rsid w:val="00CA1061"/>
    <w:rsid w:val="00CA114B"/>
    <w:rsid w:val="00CA1657"/>
    <w:rsid w:val="00CA18A1"/>
    <w:rsid w:val="00CA191D"/>
    <w:rsid w:val="00CA2E54"/>
    <w:rsid w:val="00CA3BD1"/>
    <w:rsid w:val="00CA45E7"/>
    <w:rsid w:val="00CA4B85"/>
    <w:rsid w:val="00CA4C7E"/>
    <w:rsid w:val="00CA56B2"/>
    <w:rsid w:val="00CA57F7"/>
    <w:rsid w:val="00CA7001"/>
    <w:rsid w:val="00CA700F"/>
    <w:rsid w:val="00CA7723"/>
    <w:rsid w:val="00CA7A90"/>
    <w:rsid w:val="00CA7D56"/>
    <w:rsid w:val="00CA7E8C"/>
    <w:rsid w:val="00CB0D08"/>
    <w:rsid w:val="00CB0EAE"/>
    <w:rsid w:val="00CB20E5"/>
    <w:rsid w:val="00CB23D8"/>
    <w:rsid w:val="00CB25A1"/>
    <w:rsid w:val="00CB3020"/>
    <w:rsid w:val="00CB33E9"/>
    <w:rsid w:val="00CB347A"/>
    <w:rsid w:val="00CB3D26"/>
    <w:rsid w:val="00CB3E4D"/>
    <w:rsid w:val="00CB50D7"/>
    <w:rsid w:val="00CB51C8"/>
    <w:rsid w:val="00CB5BA7"/>
    <w:rsid w:val="00CB5FD4"/>
    <w:rsid w:val="00CB6A09"/>
    <w:rsid w:val="00CB6B3A"/>
    <w:rsid w:val="00CB7D9B"/>
    <w:rsid w:val="00CC0088"/>
    <w:rsid w:val="00CC0221"/>
    <w:rsid w:val="00CC04C5"/>
    <w:rsid w:val="00CC1021"/>
    <w:rsid w:val="00CC335E"/>
    <w:rsid w:val="00CC38F3"/>
    <w:rsid w:val="00CC3FAA"/>
    <w:rsid w:val="00CC450F"/>
    <w:rsid w:val="00CC5912"/>
    <w:rsid w:val="00CC6F4F"/>
    <w:rsid w:val="00CC74BF"/>
    <w:rsid w:val="00CD138E"/>
    <w:rsid w:val="00CD1ADA"/>
    <w:rsid w:val="00CD2431"/>
    <w:rsid w:val="00CD3270"/>
    <w:rsid w:val="00CD42E5"/>
    <w:rsid w:val="00CD49D4"/>
    <w:rsid w:val="00CD5098"/>
    <w:rsid w:val="00CD61E3"/>
    <w:rsid w:val="00CD7CDB"/>
    <w:rsid w:val="00CE0370"/>
    <w:rsid w:val="00CE07A6"/>
    <w:rsid w:val="00CE2BBD"/>
    <w:rsid w:val="00CE3588"/>
    <w:rsid w:val="00CE395C"/>
    <w:rsid w:val="00CE4338"/>
    <w:rsid w:val="00CE6C0C"/>
    <w:rsid w:val="00CE7040"/>
    <w:rsid w:val="00CE71F4"/>
    <w:rsid w:val="00CE73E2"/>
    <w:rsid w:val="00CE7C2A"/>
    <w:rsid w:val="00CF0908"/>
    <w:rsid w:val="00CF0FB3"/>
    <w:rsid w:val="00CF1DE4"/>
    <w:rsid w:val="00CF1E9D"/>
    <w:rsid w:val="00CF224F"/>
    <w:rsid w:val="00CF3B7F"/>
    <w:rsid w:val="00CF3E5D"/>
    <w:rsid w:val="00CF4AC3"/>
    <w:rsid w:val="00CF534D"/>
    <w:rsid w:val="00CF540C"/>
    <w:rsid w:val="00CF674F"/>
    <w:rsid w:val="00CF70A7"/>
    <w:rsid w:val="00CF7380"/>
    <w:rsid w:val="00D008B8"/>
    <w:rsid w:val="00D00BDB"/>
    <w:rsid w:val="00D014DE"/>
    <w:rsid w:val="00D02C93"/>
    <w:rsid w:val="00D036F0"/>
    <w:rsid w:val="00D05762"/>
    <w:rsid w:val="00D073DB"/>
    <w:rsid w:val="00D1038F"/>
    <w:rsid w:val="00D12573"/>
    <w:rsid w:val="00D12F47"/>
    <w:rsid w:val="00D130B0"/>
    <w:rsid w:val="00D1365C"/>
    <w:rsid w:val="00D137FF"/>
    <w:rsid w:val="00D13D94"/>
    <w:rsid w:val="00D14025"/>
    <w:rsid w:val="00D1538C"/>
    <w:rsid w:val="00D153CC"/>
    <w:rsid w:val="00D15E22"/>
    <w:rsid w:val="00D16923"/>
    <w:rsid w:val="00D171CD"/>
    <w:rsid w:val="00D17F18"/>
    <w:rsid w:val="00D21792"/>
    <w:rsid w:val="00D22D10"/>
    <w:rsid w:val="00D232B9"/>
    <w:rsid w:val="00D2357D"/>
    <w:rsid w:val="00D249E6"/>
    <w:rsid w:val="00D25760"/>
    <w:rsid w:val="00D2580F"/>
    <w:rsid w:val="00D2673D"/>
    <w:rsid w:val="00D26D90"/>
    <w:rsid w:val="00D2702B"/>
    <w:rsid w:val="00D27EFD"/>
    <w:rsid w:val="00D30503"/>
    <w:rsid w:val="00D3101B"/>
    <w:rsid w:val="00D31F22"/>
    <w:rsid w:val="00D320AD"/>
    <w:rsid w:val="00D3262C"/>
    <w:rsid w:val="00D32FD9"/>
    <w:rsid w:val="00D33085"/>
    <w:rsid w:val="00D333A3"/>
    <w:rsid w:val="00D33CB7"/>
    <w:rsid w:val="00D343A9"/>
    <w:rsid w:val="00D3490A"/>
    <w:rsid w:val="00D36074"/>
    <w:rsid w:val="00D36107"/>
    <w:rsid w:val="00D37C0E"/>
    <w:rsid w:val="00D37E06"/>
    <w:rsid w:val="00D40748"/>
    <w:rsid w:val="00D40F99"/>
    <w:rsid w:val="00D417BC"/>
    <w:rsid w:val="00D425DD"/>
    <w:rsid w:val="00D4284B"/>
    <w:rsid w:val="00D4435A"/>
    <w:rsid w:val="00D4463E"/>
    <w:rsid w:val="00D4497E"/>
    <w:rsid w:val="00D45E06"/>
    <w:rsid w:val="00D45F46"/>
    <w:rsid w:val="00D461EA"/>
    <w:rsid w:val="00D46240"/>
    <w:rsid w:val="00D47C56"/>
    <w:rsid w:val="00D502CC"/>
    <w:rsid w:val="00D51AAC"/>
    <w:rsid w:val="00D52250"/>
    <w:rsid w:val="00D538C6"/>
    <w:rsid w:val="00D5473C"/>
    <w:rsid w:val="00D54979"/>
    <w:rsid w:val="00D55D46"/>
    <w:rsid w:val="00D562AA"/>
    <w:rsid w:val="00D57921"/>
    <w:rsid w:val="00D57CFB"/>
    <w:rsid w:val="00D6028C"/>
    <w:rsid w:val="00D603E0"/>
    <w:rsid w:val="00D61793"/>
    <w:rsid w:val="00D623C7"/>
    <w:rsid w:val="00D62AFB"/>
    <w:rsid w:val="00D63DD8"/>
    <w:rsid w:val="00D6490F"/>
    <w:rsid w:val="00D656AF"/>
    <w:rsid w:val="00D65768"/>
    <w:rsid w:val="00D666EA"/>
    <w:rsid w:val="00D67FEC"/>
    <w:rsid w:val="00D7279D"/>
    <w:rsid w:val="00D72B3B"/>
    <w:rsid w:val="00D72D05"/>
    <w:rsid w:val="00D72EC3"/>
    <w:rsid w:val="00D72FED"/>
    <w:rsid w:val="00D73D97"/>
    <w:rsid w:val="00D773B0"/>
    <w:rsid w:val="00D777EB"/>
    <w:rsid w:val="00D77AED"/>
    <w:rsid w:val="00D800F7"/>
    <w:rsid w:val="00D80A9D"/>
    <w:rsid w:val="00D812A9"/>
    <w:rsid w:val="00D816A3"/>
    <w:rsid w:val="00D81B69"/>
    <w:rsid w:val="00D8231C"/>
    <w:rsid w:val="00D82399"/>
    <w:rsid w:val="00D8398F"/>
    <w:rsid w:val="00D85BDE"/>
    <w:rsid w:val="00D86513"/>
    <w:rsid w:val="00D87B5B"/>
    <w:rsid w:val="00D87F56"/>
    <w:rsid w:val="00D91970"/>
    <w:rsid w:val="00D9222C"/>
    <w:rsid w:val="00D9456C"/>
    <w:rsid w:val="00D949CD"/>
    <w:rsid w:val="00D94ECB"/>
    <w:rsid w:val="00D95B63"/>
    <w:rsid w:val="00D95D37"/>
    <w:rsid w:val="00D962DD"/>
    <w:rsid w:val="00D968CD"/>
    <w:rsid w:val="00D96AED"/>
    <w:rsid w:val="00DA004A"/>
    <w:rsid w:val="00DA048B"/>
    <w:rsid w:val="00DA0BB2"/>
    <w:rsid w:val="00DA14F2"/>
    <w:rsid w:val="00DA4484"/>
    <w:rsid w:val="00DA4D46"/>
    <w:rsid w:val="00DA51AB"/>
    <w:rsid w:val="00DA57A3"/>
    <w:rsid w:val="00DA63C9"/>
    <w:rsid w:val="00DA7A12"/>
    <w:rsid w:val="00DB00F4"/>
    <w:rsid w:val="00DB0104"/>
    <w:rsid w:val="00DB0D44"/>
    <w:rsid w:val="00DB1A19"/>
    <w:rsid w:val="00DB494C"/>
    <w:rsid w:val="00DB4ACF"/>
    <w:rsid w:val="00DB57EF"/>
    <w:rsid w:val="00DB698A"/>
    <w:rsid w:val="00DC080F"/>
    <w:rsid w:val="00DC0F26"/>
    <w:rsid w:val="00DC101E"/>
    <w:rsid w:val="00DC17F5"/>
    <w:rsid w:val="00DC1812"/>
    <w:rsid w:val="00DC28B0"/>
    <w:rsid w:val="00DC2985"/>
    <w:rsid w:val="00DC2EA3"/>
    <w:rsid w:val="00DC4707"/>
    <w:rsid w:val="00DC5634"/>
    <w:rsid w:val="00DC570C"/>
    <w:rsid w:val="00DC5947"/>
    <w:rsid w:val="00DC5A87"/>
    <w:rsid w:val="00DC6FBF"/>
    <w:rsid w:val="00DC71CA"/>
    <w:rsid w:val="00DC73CB"/>
    <w:rsid w:val="00DC77DD"/>
    <w:rsid w:val="00DD17B6"/>
    <w:rsid w:val="00DD2D10"/>
    <w:rsid w:val="00DD2F8C"/>
    <w:rsid w:val="00DD339C"/>
    <w:rsid w:val="00DD33D9"/>
    <w:rsid w:val="00DD357F"/>
    <w:rsid w:val="00DD4FB3"/>
    <w:rsid w:val="00DD5343"/>
    <w:rsid w:val="00DD535A"/>
    <w:rsid w:val="00DD5DC8"/>
    <w:rsid w:val="00DD5FFE"/>
    <w:rsid w:val="00DD6671"/>
    <w:rsid w:val="00DD6812"/>
    <w:rsid w:val="00DD724B"/>
    <w:rsid w:val="00DD7841"/>
    <w:rsid w:val="00DE03DF"/>
    <w:rsid w:val="00DE05C7"/>
    <w:rsid w:val="00DE0E03"/>
    <w:rsid w:val="00DE1B8B"/>
    <w:rsid w:val="00DE1DB5"/>
    <w:rsid w:val="00DE3630"/>
    <w:rsid w:val="00DE37C5"/>
    <w:rsid w:val="00DE3BE2"/>
    <w:rsid w:val="00DE4243"/>
    <w:rsid w:val="00DE4C40"/>
    <w:rsid w:val="00DE610E"/>
    <w:rsid w:val="00DF0132"/>
    <w:rsid w:val="00DF1173"/>
    <w:rsid w:val="00DF1C62"/>
    <w:rsid w:val="00DF2497"/>
    <w:rsid w:val="00DF2654"/>
    <w:rsid w:val="00DF3141"/>
    <w:rsid w:val="00DF38E5"/>
    <w:rsid w:val="00DF3CF2"/>
    <w:rsid w:val="00DF447B"/>
    <w:rsid w:val="00DF4791"/>
    <w:rsid w:val="00DF5704"/>
    <w:rsid w:val="00DF5BF7"/>
    <w:rsid w:val="00DF72CF"/>
    <w:rsid w:val="00DF742F"/>
    <w:rsid w:val="00E00CFF"/>
    <w:rsid w:val="00E01A5D"/>
    <w:rsid w:val="00E01C40"/>
    <w:rsid w:val="00E02592"/>
    <w:rsid w:val="00E027D4"/>
    <w:rsid w:val="00E02F6F"/>
    <w:rsid w:val="00E0331F"/>
    <w:rsid w:val="00E0442E"/>
    <w:rsid w:val="00E058FF"/>
    <w:rsid w:val="00E06311"/>
    <w:rsid w:val="00E0633E"/>
    <w:rsid w:val="00E067F0"/>
    <w:rsid w:val="00E06900"/>
    <w:rsid w:val="00E069BF"/>
    <w:rsid w:val="00E06D28"/>
    <w:rsid w:val="00E06FBE"/>
    <w:rsid w:val="00E07D55"/>
    <w:rsid w:val="00E10584"/>
    <w:rsid w:val="00E10D55"/>
    <w:rsid w:val="00E11DC2"/>
    <w:rsid w:val="00E13739"/>
    <w:rsid w:val="00E13AA4"/>
    <w:rsid w:val="00E13FEE"/>
    <w:rsid w:val="00E14228"/>
    <w:rsid w:val="00E15171"/>
    <w:rsid w:val="00E15A73"/>
    <w:rsid w:val="00E163E8"/>
    <w:rsid w:val="00E1742F"/>
    <w:rsid w:val="00E17C8D"/>
    <w:rsid w:val="00E20982"/>
    <w:rsid w:val="00E20B2F"/>
    <w:rsid w:val="00E20F21"/>
    <w:rsid w:val="00E2318A"/>
    <w:rsid w:val="00E236F7"/>
    <w:rsid w:val="00E23BC6"/>
    <w:rsid w:val="00E243C1"/>
    <w:rsid w:val="00E246C3"/>
    <w:rsid w:val="00E24B7F"/>
    <w:rsid w:val="00E24EB0"/>
    <w:rsid w:val="00E2556D"/>
    <w:rsid w:val="00E2585D"/>
    <w:rsid w:val="00E2595B"/>
    <w:rsid w:val="00E26B5E"/>
    <w:rsid w:val="00E276EC"/>
    <w:rsid w:val="00E3026B"/>
    <w:rsid w:val="00E30FA5"/>
    <w:rsid w:val="00E31772"/>
    <w:rsid w:val="00E325F1"/>
    <w:rsid w:val="00E32620"/>
    <w:rsid w:val="00E33ACB"/>
    <w:rsid w:val="00E33DFB"/>
    <w:rsid w:val="00E33E66"/>
    <w:rsid w:val="00E341EF"/>
    <w:rsid w:val="00E34278"/>
    <w:rsid w:val="00E34B6B"/>
    <w:rsid w:val="00E35CF8"/>
    <w:rsid w:val="00E35E50"/>
    <w:rsid w:val="00E35EC3"/>
    <w:rsid w:val="00E364FE"/>
    <w:rsid w:val="00E36D7D"/>
    <w:rsid w:val="00E400DE"/>
    <w:rsid w:val="00E40380"/>
    <w:rsid w:val="00E406BD"/>
    <w:rsid w:val="00E40FDB"/>
    <w:rsid w:val="00E413A9"/>
    <w:rsid w:val="00E4142A"/>
    <w:rsid w:val="00E414C4"/>
    <w:rsid w:val="00E41741"/>
    <w:rsid w:val="00E42236"/>
    <w:rsid w:val="00E43337"/>
    <w:rsid w:val="00E43541"/>
    <w:rsid w:val="00E43C25"/>
    <w:rsid w:val="00E443CF"/>
    <w:rsid w:val="00E450B6"/>
    <w:rsid w:val="00E45CDE"/>
    <w:rsid w:val="00E46537"/>
    <w:rsid w:val="00E46CB2"/>
    <w:rsid w:val="00E474A7"/>
    <w:rsid w:val="00E51E1C"/>
    <w:rsid w:val="00E52F3B"/>
    <w:rsid w:val="00E546DE"/>
    <w:rsid w:val="00E54E0D"/>
    <w:rsid w:val="00E55044"/>
    <w:rsid w:val="00E55A9F"/>
    <w:rsid w:val="00E566A0"/>
    <w:rsid w:val="00E57239"/>
    <w:rsid w:val="00E61F29"/>
    <w:rsid w:val="00E63111"/>
    <w:rsid w:val="00E64ACF"/>
    <w:rsid w:val="00E65075"/>
    <w:rsid w:val="00E651F0"/>
    <w:rsid w:val="00E6534E"/>
    <w:rsid w:val="00E65914"/>
    <w:rsid w:val="00E65CC2"/>
    <w:rsid w:val="00E660CD"/>
    <w:rsid w:val="00E6638C"/>
    <w:rsid w:val="00E666CA"/>
    <w:rsid w:val="00E6673F"/>
    <w:rsid w:val="00E70280"/>
    <w:rsid w:val="00E70A90"/>
    <w:rsid w:val="00E717A0"/>
    <w:rsid w:val="00E71C6C"/>
    <w:rsid w:val="00E71C78"/>
    <w:rsid w:val="00E71CDF"/>
    <w:rsid w:val="00E72948"/>
    <w:rsid w:val="00E729DF"/>
    <w:rsid w:val="00E73350"/>
    <w:rsid w:val="00E734D5"/>
    <w:rsid w:val="00E740B1"/>
    <w:rsid w:val="00E76BC1"/>
    <w:rsid w:val="00E7755B"/>
    <w:rsid w:val="00E776BE"/>
    <w:rsid w:val="00E77D6A"/>
    <w:rsid w:val="00E77DDE"/>
    <w:rsid w:val="00E803E3"/>
    <w:rsid w:val="00E81368"/>
    <w:rsid w:val="00E81695"/>
    <w:rsid w:val="00E81EB5"/>
    <w:rsid w:val="00E82616"/>
    <w:rsid w:val="00E83036"/>
    <w:rsid w:val="00E8356E"/>
    <w:rsid w:val="00E8512F"/>
    <w:rsid w:val="00E86F64"/>
    <w:rsid w:val="00E87C42"/>
    <w:rsid w:val="00E90015"/>
    <w:rsid w:val="00E9166F"/>
    <w:rsid w:val="00E9198C"/>
    <w:rsid w:val="00E91C1C"/>
    <w:rsid w:val="00E926D9"/>
    <w:rsid w:val="00E92F8E"/>
    <w:rsid w:val="00E92FC0"/>
    <w:rsid w:val="00E9471E"/>
    <w:rsid w:val="00E948AB"/>
    <w:rsid w:val="00E9635F"/>
    <w:rsid w:val="00E96B90"/>
    <w:rsid w:val="00E976FB"/>
    <w:rsid w:val="00EA061F"/>
    <w:rsid w:val="00EA16FF"/>
    <w:rsid w:val="00EA34C3"/>
    <w:rsid w:val="00EA3C3F"/>
    <w:rsid w:val="00EA49EA"/>
    <w:rsid w:val="00EA4A93"/>
    <w:rsid w:val="00EA587D"/>
    <w:rsid w:val="00EA5B2B"/>
    <w:rsid w:val="00EA5FF9"/>
    <w:rsid w:val="00EA6DBF"/>
    <w:rsid w:val="00EA7540"/>
    <w:rsid w:val="00EA7BFA"/>
    <w:rsid w:val="00EB2CD9"/>
    <w:rsid w:val="00EB2D3F"/>
    <w:rsid w:val="00EB2FCE"/>
    <w:rsid w:val="00EB322F"/>
    <w:rsid w:val="00EB3BB9"/>
    <w:rsid w:val="00EB4675"/>
    <w:rsid w:val="00EB4E5B"/>
    <w:rsid w:val="00EB5283"/>
    <w:rsid w:val="00EB56B5"/>
    <w:rsid w:val="00EB57C9"/>
    <w:rsid w:val="00EB69E6"/>
    <w:rsid w:val="00EB6A44"/>
    <w:rsid w:val="00EB6BC2"/>
    <w:rsid w:val="00EC0128"/>
    <w:rsid w:val="00EC0612"/>
    <w:rsid w:val="00EC1555"/>
    <w:rsid w:val="00EC1E0C"/>
    <w:rsid w:val="00EC20A8"/>
    <w:rsid w:val="00EC22C9"/>
    <w:rsid w:val="00EC4B08"/>
    <w:rsid w:val="00EC4B38"/>
    <w:rsid w:val="00EC5BF1"/>
    <w:rsid w:val="00EC6C2B"/>
    <w:rsid w:val="00EC7461"/>
    <w:rsid w:val="00ED0A7D"/>
    <w:rsid w:val="00ED0B59"/>
    <w:rsid w:val="00ED20F8"/>
    <w:rsid w:val="00ED3677"/>
    <w:rsid w:val="00ED4A45"/>
    <w:rsid w:val="00ED5FC9"/>
    <w:rsid w:val="00ED65BD"/>
    <w:rsid w:val="00ED6A1C"/>
    <w:rsid w:val="00ED7785"/>
    <w:rsid w:val="00ED7CE8"/>
    <w:rsid w:val="00EE0433"/>
    <w:rsid w:val="00EE1E28"/>
    <w:rsid w:val="00EE1FF4"/>
    <w:rsid w:val="00EE2110"/>
    <w:rsid w:val="00EE2CC2"/>
    <w:rsid w:val="00EE3F7E"/>
    <w:rsid w:val="00EE4A40"/>
    <w:rsid w:val="00EE55BB"/>
    <w:rsid w:val="00EF057D"/>
    <w:rsid w:val="00EF245C"/>
    <w:rsid w:val="00EF3817"/>
    <w:rsid w:val="00EF393F"/>
    <w:rsid w:val="00EF3E23"/>
    <w:rsid w:val="00EF4AD7"/>
    <w:rsid w:val="00EF4C98"/>
    <w:rsid w:val="00EF4E76"/>
    <w:rsid w:val="00EF5B46"/>
    <w:rsid w:val="00EF69B0"/>
    <w:rsid w:val="00F005E8"/>
    <w:rsid w:val="00F00BBC"/>
    <w:rsid w:val="00F0177F"/>
    <w:rsid w:val="00F01AAD"/>
    <w:rsid w:val="00F02904"/>
    <w:rsid w:val="00F032EE"/>
    <w:rsid w:val="00F03429"/>
    <w:rsid w:val="00F0371A"/>
    <w:rsid w:val="00F03CF9"/>
    <w:rsid w:val="00F03DBB"/>
    <w:rsid w:val="00F03DC1"/>
    <w:rsid w:val="00F0468C"/>
    <w:rsid w:val="00F0516B"/>
    <w:rsid w:val="00F05416"/>
    <w:rsid w:val="00F05DBE"/>
    <w:rsid w:val="00F062C3"/>
    <w:rsid w:val="00F06A09"/>
    <w:rsid w:val="00F07226"/>
    <w:rsid w:val="00F0798C"/>
    <w:rsid w:val="00F07A03"/>
    <w:rsid w:val="00F10DA2"/>
    <w:rsid w:val="00F12476"/>
    <w:rsid w:val="00F1255F"/>
    <w:rsid w:val="00F12CC7"/>
    <w:rsid w:val="00F12E8B"/>
    <w:rsid w:val="00F14400"/>
    <w:rsid w:val="00F16021"/>
    <w:rsid w:val="00F16B2B"/>
    <w:rsid w:val="00F1715E"/>
    <w:rsid w:val="00F17F65"/>
    <w:rsid w:val="00F2003F"/>
    <w:rsid w:val="00F2006C"/>
    <w:rsid w:val="00F20296"/>
    <w:rsid w:val="00F206F8"/>
    <w:rsid w:val="00F20C6D"/>
    <w:rsid w:val="00F2150E"/>
    <w:rsid w:val="00F21BA8"/>
    <w:rsid w:val="00F22038"/>
    <w:rsid w:val="00F23486"/>
    <w:rsid w:val="00F243B1"/>
    <w:rsid w:val="00F2759B"/>
    <w:rsid w:val="00F278DF"/>
    <w:rsid w:val="00F3006A"/>
    <w:rsid w:val="00F30343"/>
    <w:rsid w:val="00F3091F"/>
    <w:rsid w:val="00F30D86"/>
    <w:rsid w:val="00F30FC2"/>
    <w:rsid w:val="00F31761"/>
    <w:rsid w:val="00F31BC3"/>
    <w:rsid w:val="00F33672"/>
    <w:rsid w:val="00F3453F"/>
    <w:rsid w:val="00F35592"/>
    <w:rsid w:val="00F356A0"/>
    <w:rsid w:val="00F35B87"/>
    <w:rsid w:val="00F35E7B"/>
    <w:rsid w:val="00F35F35"/>
    <w:rsid w:val="00F36A62"/>
    <w:rsid w:val="00F36C22"/>
    <w:rsid w:val="00F36ED3"/>
    <w:rsid w:val="00F37CE5"/>
    <w:rsid w:val="00F40336"/>
    <w:rsid w:val="00F42A0B"/>
    <w:rsid w:val="00F4474D"/>
    <w:rsid w:val="00F4499D"/>
    <w:rsid w:val="00F45075"/>
    <w:rsid w:val="00F452B6"/>
    <w:rsid w:val="00F46FDD"/>
    <w:rsid w:val="00F47F53"/>
    <w:rsid w:val="00F501D1"/>
    <w:rsid w:val="00F51037"/>
    <w:rsid w:val="00F51D77"/>
    <w:rsid w:val="00F51E43"/>
    <w:rsid w:val="00F52A7D"/>
    <w:rsid w:val="00F53784"/>
    <w:rsid w:val="00F53DB6"/>
    <w:rsid w:val="00F542A4"/>
    <w:rsid w:val="00F55B7F"/>
    <w:rsid w:val="00F55C55"/>
    <w:rsid w:val="00F56384"/>
    <w:rsid w:val="00F56D13"/>
    <w:rsid w:val="00F571EF"/>
    <w:rsid w:val="00F57B70"/>
    <w:rsid w:val="00F6013E"/>
    <w:rsid w:val="00F6123A"/>
    <w:rsid w:val="00F61FA2"/>
    <w:rsid w:val="00F62398"/>
    <w:rsid w:val="00F62612"/>
    <w:rsid w:val="00F6329F"/>
    <w:rsid w:val="00F63518"/>
    <w:rsid w:val="00F63907"/>
    <w:rsid w:val="00F63FA4"/>
    <w:rsid w:val="00F643AD"/>
    <w:rsid w:val="00F64750"/>
    <w:rsid w:val="00F6694B"/>
    <w:rsid w:val="00F66B0D"/>
    <w:rsid w:val="00F672DB"/>
    <w:rsid w:val="00F703F4"/>
    <w:rsid w:val="00F70A25"/>
    <w:rsid w:val="00F70E96"/>
    <w:rsid w:val="00F71062"/>
    <w:rsid w:val="00F71160"/>
    <w:rsid w:val="00F72193"/>
    <w:rsid w:val="00F724B9"/>
    <w:rsid w:val="00F725C8"/>
    <w:rsid w:val="00F7305D"/>
    <w:rsid w:val="00F7490F"/>
    <w:rsid w:val="00F7528F"/>
    <w:rsid w:val="00F75371"/>
    <w:rsid w:val="00F76061"/>
    <w:rsid w:val="00F76169"/>
    <w:rsid w:val="00F77137"/>
    <w:rsid w:val="00F77666"/>
    <w:rsid w:val="00F80701"/>
    <w:rsid w:val="00F81017"/>
    <w:rsid w:val="00F81D86"/>
    <w:rsid w:val="00F82A4B"/>
    <w:rsid w:val="00F833BD"/>
    <w:rsid w:val="00F83570"/>
    <w:rsid w:val="00F83E39"/>
    <w:rsid w:val="00F84239"/>
    <w:rsid w:val="00F843C2"/>
    <w:rsid w:val="00F8598E"/>
    <w:rsid w:val="00F85EA3"/>
    <w:rsid w:val="00F869DD"/>
    <w:rsid w:val="00F86C91"/>
    <w:rsid w:val="00F870ED"/>
    <w:rsid w:val="00F872CA"/>
    <w:rsid w:val="00F87E72"/>
    <w:rsid w:val="00F87F0C"/>
    <w:rsid w:val="00F87FE7"/>
    <w:rsid w:val="00F91EAE"/>
    <w:rsid w:val="00F922B0"/>
    <w:rsid w:val="00F92698"/>
    <w:rsid w:val="00F92733"/>
    <w:rsid w:val="00F93086"/>
    <w:rsid w:val="00F9386D"/>
    <w:rsid w:val="00F93B61"/>
    <w:rsid w:val="00F9455A"/>
    <w:rsid w:val="00F94929"/>
    <w:rsid w:val="00F94CEC"/>
    <w:rsid w:val="00F95042"/>
    <w:rsid w:val="00F9563A"/>
    <w:rsid w:val="00F95BF7"/>
    <w:rsid w:val="00F96632"/>
    <w:rsid w:val="00FA0248"/>
    <w:rsid w:val="00FA026C"/>
    <w:rsid w:val="00FA0611"/>
    <w:rsid w:val="00FA36D2"/>
    <w:rsid w:val="00FA4459"/>
    <w:rsid w:val="00FA476A"/>
    <w:rsid w:val="00FA580D"/>
    <w:rsid w:val="00FA62AF"/>
    <w:rsid w:val="00FA6568"/>
    <w:rsid w:val="00FB01D6"/>
    <w:rsid w:val="00FB0466"/>
    <w:rsid w:val="00FB0DC6"/>
    <w:rsid w:val="00FB18C6"/>
    <w:rsid w:val="00FB1A71"/>
    <w:rsid w:val="00FB1D8C"/>
    <w:rsid w:val="00FB21EB"/>
    <w:rsid w:val="00FB29E8"/>
    <w:rsid w:val="00FB3A4E"/>
    <w:rsid w:val="00FB4584"/>
    <w:rsid w:val="00FB50A1"/>
    <w:rsid w:val="00FB64EF"/>
    <w:rsid w:val="00FB6D2F"/>
    <w:rsid w:val="00FC001F"/>
    <w:rsid w:val="00FC09CC"/>
    <w:rsid w:val="00FC0CDD"/>
    <w:rsid w:val="00FC2A3C"/>
    <w:rsid w:val="00FC3E7F"/>
    <w:rsid w:val="00FC4133"/>
    <w:rsid w:val="00FC4234"/>
    <w:rsid w:val="00FC4EF1"/>
    <w:rsid w:val="00FC511B"/>
    <w:rsid w:val="00FC53D4"/>
    <w:rsid w:val="00FC5465"/>
    <w:rsid w:val="00FC6091"/>
    <w:rsid w:val="00FC61EF"/>
    <w:rsid w:val="00FC63F0"/>
    <w:rsid w:val="00FC774F"/>
    <w:rsid w:val="00FC7C96"/>
    <w:rsid w:val="00FC7F79"/>
    <w:rsid w:val="00FD1317"/>
    <w:rsid w:val="00FD217A"/>
    <w:rsid w:val="00FD2FF7"/>
    <w:rsid w:val="00FD3BEB"/>
    <w:rsid w:val="00FD3CEB"/>
    <w:rsid w:val="00FD4400"/>
    <w:rsid w:val="00FD46C2"/>
    <w:rsid w:val="00FD4866"/>
    <w:rsid w:val="00FD5D4A"/>
    <w:rsid w:val="00FD5DC3"/>
    <w:rsid w:val="00FD62AD"/>
    <w:rsid w:val="00FD6E2E"/>
    <w:rsid w:val="00FD7275"/>
    <w:rsid w:val="00FE085C"/>
    <w:rsid w:val="00FE10FE"/>
    <w:rsid w:val="00FE18B7"/>
    <w:rsid w:val="00FE22B6"/>
    <w:rsid w:val="00FE24DF"/>
    <w:rsid w:val="00FE2710"/>
    <w:rsid w:val="00FE336C"/>
    <w:rsid w:val="00FE3A18"/>
    <w:rsid w:val="00FE3E3B"/>
    <w:rsid w:val="00FE4504"/>
    <w:rsid w:val="00FE6822"/>
    <w:rsid w:val="00FE68D2"/>
    <w:rsid w:val="00FE6EBA"/>
    <w:rsid w:val="00FE6FC5"/>
    <w:rsid w:val="00FE6FFF"/>
    <w:rsid w:val="00FE7648"/>
    <w:rsid w:val="00FE7706"/>
    <w:rsid w:val="00FE7716"/>
    <w:rsid w:val="00FE79D9"/>
    <w:rsid w:val="00FF0302"/>
    <w:rsid w:val="00FF0895"/>
    <w:rsid w:val="00FF0A89"/>
    <w:rsid w:val="00FF106A"/>
    <w:rsid w:val="00FF16F8"/>
    <w:rsid w:val="00FF1C98"/>
    <w:rsid w:val="00FF298A"/>
    <w:rsid w:val="00FF3E9F"/>
    <w:rsid w:val="00FF4017"/>
    <w:rsid w:val="00FF44AB"/>
    <w:rsid w:val="00FF4FB1"/>
    <w:rsid w:val="00FF51DF"/>
    <w:rsid w:val="00FF595F"/>
    <w:rsid w:val="00FF5EE6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D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6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03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0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03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703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70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70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703F4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rsid w:val="00F703F4"/>
    <w:rPr>
      <w:rFonts w:ascii="Cambria" w:eastAsia="Times New Roman" w:hAnsi="Cambria" w:cs="Times New Roman"/>
      <w:b/>
      <w:bCs/>
      <w:i/>
      <w:iCs/>
      <w:color w:val="4F81BD"/>
    </w:rPr>
  </w:style>
  <w:style w:type="character" w:styleId="DipnotBavurusu">
    <w:name w:val="footnote reference"/>
    <w:basedOn w:val="VarsaylanParagrafYazTipi"/>
    <w:uiPriority w:val="99"/>
    <w:semiHidden/>
    <w:unhideWhenUsed/>
    <w:rsid w:val="000A02C9"/>
    <w:rPr>
      <w:vertAlign w:val="superscript"/>
    </w:rPr>
  </w:style>
  <w:style w:type="paragraph" w:styleId="ListeParagraf">
    <w:name w:val="List Paragraph"/>
    <w:basedOn w:val="Normal"/>
    <w:uiPriority w:val="34"/>
    <w:qFormat/>
    <w:rsid w:val="00BB0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3F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1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3FB"/>
    <w:rPr>
      <w:sz w:val="22"/>
      <w:szCs w:val="22"/>
      <w:lang w:eastAsia="en-US"/>
    </w:rPr>
  </w:style>
  <w:style w:type="table" w:styleId="AkGlgeleme-Vurgu5">
    <w:name w:val="Light Shading Accent 5"/>
    <w:basedOn w:val="NormalTablo"/>
    <w:uiPriority w:val="60"/>
    <w:rsid w:val="000C4F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F13A5"/>
    <w:rPr>
      <w:color w:val="0000FF" w:themeColor="hyperlink"/>
      <w:u w:val="single"/>
    </w:rPr>
  </w:style>
  <w:style w:type="table" w:styleId="OrtaKlavuz3-Vurgu1">
    <w:name w:val="Medium Grid 3 Accent 1"/>
    <w:basedOn w:val="NormalTablo"/>
    <w:uiPriority w:val="69"/>
    <w:rsid w:val="00E13AA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42B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2B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2B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2B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2BAD"/>
    <w:rPr>
      <w:b/>
      <w:bCs/>
      <w:lang w:eastAsia="en-US"/>
    </w:rPr>
  </w:style>
  <w:style w:type="paragraph" w:styleId="Dzeltme">
    <w:name w:val="Revision"/>
    <w:hidden/>
    <w:uiPriority w:val="99"/>
    <w:semiHidden/>
    <w:rsid w:val="00341B5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1A1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1A1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OrtaGlgeleme2-Vurgu11">
    <w:name w:val="Orta Gölgeleme 2 - Vurgu 11"/>
    <w:basedOn w:val="NormalTablo"/>
    <w:uiPriority w:val="64"/>
    <w:rsid w:val="00A21C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uiPriority w:val="63"/>
    <w:rsid w:val="00A21C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21C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47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May&#305;s%202017\TEPAV_Perakende_Anketi_Tanim_ve_Sonuclari_2017_0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May&#305;s%202017\TEPAV_Perakende_Anketi_Tanim_ve_Sonuclari_2017_00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May&#305;s%202017\TEPAV_Perakende_Anketi_Tanim_ve_Sonuclari_2017_00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VE%20DUNDAR\Desktop\TEPE\May&#305;s%202017\TEPAV_Perakende_Anketi_Tanim_ve_Sonuclari_2017_00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TEPE\May&#305;s%202017\TEPAV_Perakende_Anketi_Tanim_ve_Sonuclari_2017_00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%20DUNDAR\Desktop\KOPE\May&#305;s%202017\Perakende_G&#252;ven_Endeksi_Anketi_Tanim_ve_Sonuclari_2017_0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51557093425601E-2"/>
          <c:y val="0.27893175074184001"/>
          <c:w val="0.88379180967763704"/>
          <c:h val="0.55029857843332497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'TEPAV Perakende Güven Endeksi'!$CT$3:$DF$3</c:f>
              <c:numCache>
                <c:formatCode>0.0</c:formatCode>
                <c:ptCount val="13"/>
                <c:pt idx="0">
                  <c:v>-11.2174341787514</c:v>
                </c:pt>
                <c:pt idx="1">
                  <c:v>-12.3545700462171</c:v>
                </c:pt>
                <c:pt idx="2">
                  <c:v>-11.56292675257782</c:v>
                </c:pt>
                <c:pt idx="3">
                  <c:v>-12.13026025997612</c:v>
                </c:pt>
                <c:pt idx="4">
                  <c:v>-13.08931141450361</c:v>
                </c:pt>
                <c:pt idx="5">
                  <c:v>-16.82741984532106</c:v>
                </c:pt>
                <c:pt idx="6">
                  <c:v>-18.216985584239001</c:v>
                </c:pt>
                <c:pt idx="7">
                  <c:v>-15.26559666321571</c:v>
                </c:pt>
                <c:pt idx="8">
                  <c:v>-16.814091296440669</c:v>
                </c:pt>
                <c:pt idx="9">
                  <c:v>-14.6950768813676</c:v>
                </c:pt>
                <c:pt idx="10">
                  <c:v>-15.384579355374401</c:v>
                </c:pt>
                <c:pt idx="11">
                  <c:v>-18.535154050166231</c:v>
                </c:pt>
                <c:pt idx="12">
                  <c:v>-17.970093613595061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81248"/>
        <c:axId val="69457792"/>
      </c:lineChart>
      <c:dateAx>
        <c:axId val="4298124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69457792"/>
        <c:crosses val="autoZero"/>
        <c:auto val="1"/>
        <c:lblOffset val="100"/>
        <c:baseTimeUnit val="months"/>
      </c:dateAx>
      <c:valAx>
        <c:axId val="69457792"/>
        <c:scaling>
          <c:orientation val="minMax"/>
          <c:max val="1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4298124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132830484604059"/>
          <c:y val="0.89632733408323995"/>
          <c:w val="0.75723689264451699"/>
          <c:h val="8.9078391063186102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81987375545095E-2"/>
          <c:y val="0.27893175074184001"/>
          <c:w val="0.87117259929285595"/>
          <c:h val="0.55029857843332497"/>
        </c:manualLayout>
      </c:layout>
      <c:lineChart>
        <c:grouping val="standard"/>
        <c:varyColors val="0"/>
        <c:ser>
          <c:idx val="1"/>
          <c:order val="0"/>
          <c:tx>
            <c:strRef>
              <c:f>'Soru 4'!$A$3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4'!$CT$1:$DF$1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'Soru 4'!$CT$3:$DF$3</c:f>
              <c:numCache>
                <c:formatCode>0.0</c:formatCode>
                <c:ptCount val="13"/>
                <c:pt idx="0">
                  <c:v>0.93546280415392802</c:v>
                </c:pt>
                <c:pt idx="1">
                  <c:v>0.63054983183450697</c:v>
                </c:pt>
                <c:pt idx="2">
                  <c:v>-2.3950923508772601</c:v>
                </c:pt>
                <c:pt idx="3">
                  <c:v>-2.7198075772914798</c:v>
                </c:pt>
                <c:pt idx="4">
                  <c:v>-3.1083160160033398</c:v>
                </c:pt>
                <c:pt idx="5">
                  <c:v>-7.1672564542413202</c:v>
                </c:pt>
                <c:pt idx="6">
                  <c:v>-7.1828049129428093</c:v>
                </c:pt>
                <c:pt idx="7">
                  <c:v>-8.9221802197536206</c:v>
                </c:pt>
                <c:pt idx="8">
                  <c:v>-10.5894576849423</c:v>
                </c:pt>
                <c:pt idx="9">
                  <c:v>-13.6362754152759</c:v>
                </c:pt>
                <c:pt idx="10">
                  <c:v>-11.9035169836832</c:v>
                </c:pt>
                <c:pt idx="11">
                  <c:v>-15.384281793165499</c:v>
                </c:pt>
                <c:pt idx="12">
                  <c:v>-15.5348514697578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4'!$A$4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'Soru 4'!$CT$1:$DF$1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'Soru 4'!$CT$4:$DF$4</c:f>
              <c:numCache>
                <c:formatCode>#,##0.0</c:formatCode>
                <c:ptCount val="13"/>
                <c:pt idx="0">
                  <c:v>9.9</c:v>
                </c:pt>
                <c:pt idx="1">
                  <c:v>10.3</c:v>
                </c:pt>
                <c:pt idx="2">
                  <c:v>8</c:v>
                </c:pt>
                <c:pt idx="3">
                  <c:v>7.4</c:v>
                </c:pt>
                <c:pt idx="4">
                  <c:v>9.8000000000000007</c:v>
                </c:pt>
                <c:pt idx="5">
                  <c:v>11.5</c:v>
                </c:pt>
                <c:pt idx="6">
                  <c:v>15</c:v>
                </c:pt>
                <c:pt idx="7">
                  <c:v>12.1</c:v>
                </c:pt>
                <c:pt idx="8">
                  <c:v>11.7</c:v>
                </c:pt>
                <c:pt idx="9">
                  <c:v>12.4</c:v>
                </c:pt>
                <c:pt idx="10">
                  <c:v>13.8</c:v>
                </c:pt>
                <c:pt idx="11">
                  <c:v>16</c:v>
                </c:pt>
                <c:pt idx="12">
                  <c:v>10.7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166208"/>
        <c:axId val="111167744"/>
      </c:lineChart>
      <c:dateAx>
        <c:axId val="111166208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11167744"/>
        <c:crosses val="autoZero"/>
        <c:auto val="1"/>
        <c:lblOffset val="100"/>
        <c:baseTimeUnit val="months"/>
      </c:dateAx>
      <c:valAx>
        <c:axId val="11116774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11166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619769636233501E-2"/>
          <c:y val="0.88287256735048603"/>
          <c:w val="0.89999991323401596"/>
          <c:h val="8.0637294920074695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01E-2"/>
          <c:y val="0.27893175074184001"/>
          <c:w val="0.89610630509750899"/>
          <c:h val="0.55029857843332497"/>
        </c:manualLayout>
      </c:layout>
      <c:lineChart>
        <c:grouping val="standard"/>
        <c:varyColors val="0"/>
        <c:ser>
          <c:idx val="1"/>
          <c:order val="0"/>
          <c:tx>
            <c:strRef>
              <c:f>'Soru 7'!$A$2</c:f>
              <c:strCache>
                <c:ptCount val="1"/>
                <c:pt idx="0">
                  <c:v> Türkiye_Mevsimsellikten Arındırılmamış Seri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'Soru 7'!$CT$1:$DF$1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'Soru 7'!$CT$2:$DF$2</c:f>
              <c:numCache>
                <c:formatCode>0.0</c:formatCode>
                <c:ptCount val="13"/>
                <c:pt idx="0">
                  <c:v>-27.579779999999989</c:v>
                </c:pt>
                <c:pt idx="1">
                  <c:v>-35.227540000000012</c:v>
                </c:pt>
                <c:pt idx="2">
                  <c:v>-22.837890000000009</c:v>
                </c:pt>
                <c:pt idx="3">
                  <c:v>-27.473639999999989</c:v>
                </c:pt>
                <c:pt idx="4">
                  <c:v>-37.513860000000001</c:v>
                </c:pt>
                <c:pt idx="5">
                  <c:v>-42.740610000000011</c:v>
                </c:pt>
                <c:pt idx="6">
                  <c:v>-45.313189999999999</c:v>
                </c:pt>
                <c:pt idx="7">
                  <c:v>-49.62726</c:v>
                </c:pt>
                <c:pt idx="8">
                  <c:v>-43.310639999999999</c:v>
                </c:pt>
                <c:pt idx="9">
                  <c:v>-36.332439999999998</c:v>
                </c:pt>
                <c:pt idx="10">
                  <c:v>-41.334600000000002</c:v>
                </c:pt>
                <c:pt idx="11">
                  <c:v>-38.60192</c:v>
                </c:pt>
                <c:pt idx="12">
                  <c:v>-39.365480000000012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'Soru 7'!$A$3</c:f>
              <c:strCache>
                <c:ptCount val="1"/>
                <c:pt idx="0">
                  <c:v> Türkiye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'Soru 7'!$CT$1:$DF$1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'Soru 7'!$CT$3:$DF$3</c:f>
              <c:numCache>
                <c:formatCode>0.0</c:formatCode>
                <c:ptCount val="13"/>
                <c:pt idx="0">
                  <c:v>-27.57978</c:v>
                </c:pt>
                <c:pt idx="1">
                  <c:v>-35.227540000000012</c:v>
                </c:pt>
                <c:pt idx="2">
                  <c:v>-22.837890000000009</c:v>
                </c:pt>
                <c:pt idx="3">
                  <c:v>-27.47364</c:v>
                </c:pt>
                <c:pt idx="4">
                  <c:v>-37.513860000000001</c:v>
                </c:pt>
                <c:pt idx="5">
                  <c:v>-42.740609999999997</c:v>
                </c:pt>
                <c:pt idx="6">
                  <c:v>-45.313189999999999</c:v>
                </c:pt>
                <c:pt idx="7">
                  <c:v>-49.62726</c:v>
                </c:pt>
                <c:pt idx="8">
                  <c:v>-43.310639999999999</c:v>
                </c:pt>
                <c:pt idx="9">
                  <c:v>-36.332440000000013</c:v>
                </c:pt>
                <c:pt idx="10">
                  <c:v>-41.334600000000002</c:v>
                </c:pt>
                <c:pt idx="11">
                  <c:v>-38.60192</c:v>
                </c:pt>
                <c:pt idx="12">
                  <c:v>-39.365480000000012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70432"/>
        <c:axId val="134372352"/>
      </c:lineChart>
      <c:dateAx>
        <c:axId val="13437043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134372352"/>
        <c:crosses val="autoZero"/>
        <c:auto val="1"/>
        <c:lblOffset val="100"/>
        <c:baseTimeUnit val="months"/>
      </c:dateAx>
      <c:valAx>
        <c:axId val="13437235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134370432"/>
        <c:crosses val="autoZero"/>
        <c:crossBetween val="between"/>
        <c:majorUnit val="10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63528045541392E-2"/>
          <c:y val="0.88287282271534195"/>
          <c:w val="0.946280904969523"/>
          <c:h val="8.7674731567645006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7.8662733529992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8003391169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2417290431299E-3"/>
                  <c:y val="1.5733475793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80157790010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628560318849406E-5"/>
                  <c:y val="1.179971972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1800029421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9971972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'1-2-4'!$AZ$75:$AZ$81</c:f>
              <c:strCache>
                <c:ptCount val="7"/>
                <c:pt idx="0">
                  <c:v>Elektrikli ev aletleri, radyo ve televizyonlar</c:v>
                </c:pt>
                <c:pt idx="1">
                  <c:v>Motorlu taşıtlar</c:v>
                </c:pt>
                <c:pt idx="2">
                  <c:v>Tekstil, hazır giyim ve ayakkabı</c:v>
                </c:pt>
                <c:pt idx="3">
                  <c:v>Diğer</c:v>
                </c:pt>
                <c:pt idx="4">
                  <c:v>Birden fazla türde ürün satan bakkal, market ve büyük mağazalar </c:v>
                </c:pt>
                <c:pt idx="5">
                  <c:v>Yiyecek, içecek ve tütün ürünleri </c:v>
                </c:pt>
                <c:pt idx="6">
                  <c:v>BYS mobilya, aydınlatma ekipmanı ve ev içi kullanım ürünleri </c:v>
                </c:pt>
              </c:strCache>
            </c:strRef>
          </c:cat>
          <c:val>
            <c:numRef>
              <c:f>'1-2-4'!$BA$75:$BA$81</c:f>
              <c:numCache>
                <c:formatCode>0.0</c:formatCode>
                <c:ptCount val="7"/>
                <c:pt idx="0">
                  <c:v>18.407797255363331</c:v>
                </c:pt>
                <c:pt idx="1">
                  <c:v>0.38541019496990497</c:v>
                </c:pt>
                <c:pt idx="2">
                  <c:v>-1.7385428650322019</c:v>
                </c:pt>
                <c:pt idx="3">
                  <c:v>-6.2179442028696377</c:v>
                </c:pt>
                <c:pt idx="4">
                  <c:v>-7.3441228426084706</c:v>
                </c:pt>
                <c:pt idx="5">
                  <c:v>-8.7054569741815708</c:v>
                </c:pt>
                <c:pt idx="6">
                  <c:v>-15.888898949760121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31840"/>
        <c:axId val="84182144"/>
      </c:barChart>
      <c:catAx>
        <c:axId val="77331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900" b="1" baseline="0"/>
            </a:pPr>
            <a:endParaRPr lang="tr-TR"/>
          </a:p>
        </c:txPr>
        <c:crossAx val="84182144"/>
        <c:crosses val="autoZero"/>
        <c:auto val="1"/>
        <c:lblAlgn val="ctr"/>
        <c:lblOffset val="100"/>
        <c:noMultiLvlLbl val="0"/>
      </c:catAx>
      <c:valAx>
        <c:axId val="8418214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7733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01E-2"/>
          <c:y val="0.27893175074184001"/>
          <c:w val="0.88379180967763704"/>
          <c:h val="0.55029857843332497"/>
        </c:manualLayout>
      </c:layout>
      <c:lineChart>
        <c:grouping val="standard"/>
        <c:varyColors val="0"/>
        <c:ser>
          <c:idx val="1"/>
          <c:order val="0"/>
          <c:tx>
            <c:strRef>
              <c:f>'TEPAV Perakende Güven Endeksi'!$A$3</c:f>
              <c:strCache>
                <c:ptCount val="1"/>
                <c:pt idx="0">
                  <c:v> TEPE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'TEPAV Perakende Güven Endeksi'!$CT$1:$DF$1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'TEPAV Perakende Güven Endeksi'!$CT$3:$DF$3</c:f>
              <c:numCache>
                <c:formatCode>0.0</c:formatCode>
                <c:ptCount val="13"/>
                <c:pt idx="0">
                  <c:v>-11.2174341787514</c:v>
                </c:pt>
                <c:pt idx="1">
                  <c:v>-12.3545700462171</c:v>
                </c:pt>
                <c:pt idx="2">
                  <c:v>-11.56292675257782</c:v>
                </c:pt>
                <c:pt idx="3">
                  <c:v>-12.13026025997612</c:v>
                </c:pt>
                <c:pt idx="4">
                  <c:v>-13.08931141450361</c:v>
                </c:pt>
                <c:pt idx="5">
                  <c:v>-16.82741984532106</c:v>
                </c:pt>
                <c:pt idx="6">
                  <c:v>-18.216985584239001</c:v>
                </c:pt>
                <c:pt idx="7">
                  <c:v>-15.26559666321571</c:v>
                </c:pt>
                <c:pt idx="8">
                  <c:v>-16.814091296440669</c:v>
                </c:pt>
                <c:pt idx="9">
                  <c:v>-14.6950768813676</c:v>
                </c:pt>
                <c:pt idx="10">
                  <c:v>-15.384579355374401</c:v>
                </c:pt>
                <c:pt idx="11">
                  <c:v>-18.535154050166231</c:v>
                </c:pt>
                <c:pt idx="12">
                  <c:v>-17.970093613595061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'TEPAV Perakende Güven Endeksi'!$A$4</c:f>
              <c:strCache>
                <c:ptCount val="1"/>
                <c:pt idx="0">
                  <c:v> AB-28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'TEPAV Perakende Güven Endeksi'!$CT$1:$DF$1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42554</c:v>
                </c:pt>
                <c:pt idx="3">
                  <c:v>42585</c:v>
                </c:pt>
                <c:pt idx="4">
                  <c:v>42616</c:v>
                </c:pt>
                <c:pt idx="5">
                  <c:v>42646</c:v>
                </c:pt>
                <c:pt idx="6">
                  <c:v>42677</c:v>
                </c:pt>
                <c:pt idx="7">
                  <c:v>42707</c:v>
                </c:pt>
                <c:pt idx="8">
                  <c:v>42738</c:v>
                </c:pt>
                <c:pt idx="9">
                  <c:v>42769</c:v>
                </c:pt>
                <c:pt idx="10">
                  <c:v>42797</c:v>
                </c:pt>
                <c:pt idx="11">
                  <c:v>42828</c:v>
                </c:pt>
                <c:pt idx="12">
                  <c:v>42858</c:v>
                </c:pt>
              </c:numCache>
            </c:numRef>
          </c:cat>
          <c:val>
            <c:numRef>
              <c:f>'TEPAV Perakende Güven Endeksi'!$CT$4:$DF$4</c:f>
              <c:numCache>
                <c:formatCode>#,##0.0</c:formatCode>
                <c:ptCount val="13"/>
                <c:pt idx="0">
                  <c:v>3</c:v>
                </c:pt>
                <c:pt idx="1">
                  <c:v>1.6</c:v>
                </c:pt>
                <c:pt idx="2">
                  <c:v>1</c:v>
                </c:pt>
                <c:pt idx="3">
                  <c:v>-0.3</c:v>
                </c:pt>
                <c:pt idx="4">
                  <c:v>1.2</c:v>
                </c:pt>
                <c:pt idx="5">
                  <c:v>1.5</c:v>
                </c:pt>
                <c:pt idx="6">
                  <c:v>4.8</c:v>
                </c:pt>
                <c:pt idx="7">
                  <c:v>4.7</c:v>
                </c:pt>
                <c:pt idx="8">
                  <c:v>2.8</c:v>
                </c:pt>
                <c:pt idx="9">
                  <c:v>3.3</c:v>
                </c:pt>
                <c:pt idx="10">
                  <c:v>4.0999999999999996</c:v>
                </c:pt>
                <c:pt idx="11">
                  <c:v>5</c:v>
                </c:pt>
                <c:pt idx="12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36160"/>
        <c:axId val="84237696"/>
      </c:lineChart>
      <c:dateAx>
        <c:axId val="8423616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lang="en-US" b="1" i="0" baseline="0"/>
            </a:pPr>
            <a:endParaRPr lang="tr-TR"/>
          </a:p>
        </c:txPr>
        <c:crossAx val="84237696"/>
        <c:crosses val="autoZero"/>
        <c:auto val="1"/>
        <c:lblOffset val="100"/>
        <c:baseTimeUnit val="months"/>
      </c:dateAx>
      <c:valAx>
        <c:axId val="84237696"/>
        <c:scaling>
          <c:orientation val="minMax"/>
          <c:max val="1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b="1" i="0" baseline="0"/>
            </a:pPr>
            <a:endParaRPr lang="tr-TR"/>
          </a:p>
        </c:txPr>
        <c:crossAx val="8423616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132830484604059"/>
          <c:y val="0.89632733408323995"/>
          <c:w val="0.75723689264451699"/>
          <c:h val="8.9078391063186102E-2"/>
        </c:manualLayout>
      </c:layout>
      <c:overlay val="0"/>
      <c:txPr>
        <a:bodyPr/>
        <a:lstStyle/>
        <a:p>
          <a:pPr>
            <a:defRPr lang="en-US"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51557093425601E-2"/>
          <c:y val="0.27893175074184001"/>
          <c:w val="0.88437800585873805"/>
          <c:h val="0.55029857843332497"/>
        </c:manualLayout>
      </c:layout>
      <c:lineChart>
        <c:grouping val="standard"/>
        <c:varyColors val="0"/>
        <c:ser>
          <c:idx val="0"/>
          <c:order val="0"/>
          <c:tx>
            <c:strRef>
              <c:f>'Konya Perakende Güven Endeksi'!$A$7</c:f>
              <c:strCache>
                <c:ptCount val="1"/>
                <c:pt idx="0">
                  <c:v>KOPE (Konya TO)</c:v>
                </c:pt>
              </c:strCache>
            </c:strRef>
          </c:tx>
          <c:spPr>
            <a:ln w="44450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'Konya Perakende Güven Endeksi'!$BA$6:$BM$6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42553</c:v>
                </c:pt>
                <c:pt idx="3">
                  <c:v>42584</c:v>
                </c:pt>
                <c:pt idx="4">
                  <c:v>42615</c:v>
                </c:pt>
                <c:pt idx="5">
                  <c:v>42645</c:v>
                </c:pt>
                <c:pt idx="6">
                  <c:v>42676</c:v>
                </c:pt>
                <c:pt idx="7">
                  <c:v>42706</c:v>
                </c:pt>
                <c:pt idx="8">
                  <c:v>42737</c:v>
                </c:pt>
                <c:pt idx="9">
                  <c:v>42768</c:v>
                </c:pt>
                <c:pt idx="10">
                  <c:v>42796</c:v>
                </c:pt>
                <c:pt idx="11">
                  <c:v>42827</c:v>
                </c:pt>
                <c:pt idx="12">
                  <c:v>42857</c:v>
                </c:pt>
              </c:numCache>
            </c:numRef>
          </c:cat>
          <c:val>
            <c:numRef>
              <c:f>'Konya Perakende Güven Endeksi'!$BA$7:$BM$7</c:f>
              <c:numCache>
                <c:formatCode>0.0</c:formatCode>
                <c:ptCount val="13"/>
                <c:pt idx="0">
                  <c:v>-2.1512882228954679</c:v>
                </c:pt>
                <c:pt idx="1">
                  <c:v>-2.5963313667667012</c:v>
                </c:pt>
                <c:pt idx="2">
                  <c:v>-1.7074729371430719</c:v>
                </c:pt>
                <c:pt idx="3">
                  <c:v>2.204525424326834</c:v>
                </c:pt>
                <c:pt idx="4">
                  <c:v>-1.1361030822677991</c:v>
                </c:pt>
                <c:pt idx="5">
                  <c:v>0.19081486414926799</c:v>
                </c:pt>
                <c:pt idx="6">
                  <c:v>-3.6467447432045681</c:v>
                </c:pt>
                <c:pt idx="7">
                  <c:v>-6.4178016003280582</c:v>
                </c:pt>
                <c:pt idx="8">
                  <c:v>-7.3680029769780653</c:v>
                </c:pt>
                <c:pt idx="9">
                  <c:v>-4.4532962018986684</c:v>
                </c:pt>
                <c:pt idx="10">
                  <c:v>-0.97474842016993302</c:v>
                </c:pt>
                <c:pt idx="11">
                  <c:v>-2.1657611398068681</c:v>
                </c:pt>
                <c:pt idx="12">
                  <c:v>1.1820328592854701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'Konya Perakende Güven Endeksi'!$A$8</c:f>
              <c:strCache>
                <c:ptCount val="1"/>
                <c:pt idx="0">
                  <c:v>TEPE (Türkiye - TEPAV)</c:v>
                </c:pt>
              </c:strCache>
            </c:strRef>
          </c:tx>
          <c:spPr>
            <a:ln w="44450" cap="rnd">
              <a:solidFill>
                <a:srgbClr val="FF0000"/>
              </a:solidFill>
              <a:prstDash val="solid"/>
              <a:headEnd type="none"/>
              <a:tailEnd type="none" w="sm" len="sm"/>
            </a:ln>
          </c:spPr>
          <c:marker>
            <c:symbol val="none"/>
          </c:marker>
          <c:cat>
            <c:numRef>
              <c:f>'Konya Perakende Güven Endeksi'!$BA$6:$BM$6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42553</c:v>
                </c:pt>
                <c:pt idx="3">
                  <c:v>42584</c:v>
                </c:pt>
                <c:pt idx="4">
                  <c:v>42615</c:v>
                </c:pt>
                <c:pt idx="5">
                  <c:v>42645</c:v>
                </c:pt>
                <c:pt idx="6">
                  <c:v>42676</c:v>
                </c:pt>
                <c:pt idx="7">
                  <c:v>42706</c:v>
                </c:pt>
                <c:pt idx="8">
                  <c:v>42737</c:v>
                </c:pt>
                <c:pt idx="9">
                  <c:v>42768</c:v>
                </c:pt>
                <c:pt idx="10">
                  <c:v>42796</c:v>
                </c:pt>
                <c:pt idx="11">
                  <c:v>42827</c:v>
                </c:pt>
                <c:pt idx="12">
                  <c:v>42857</c:v>
                </c:pt>
              </c:numCache>
            </c:numRef>
          </c:cat>
          <c:val>
            <c:numRef>
              <c:f>'Konya Perakende Güven Endeksi'!$BA$8:$BM$8</c:f>
              <c:numCache>
                <c:formatCode>0.0</c:formatCode>
                <c:ptCount val="13"/>
                <c:pt idx="0">
                  <c:v>-11.2174341787514</c:v>
                </c:pt>
                <c:pt idx="1">
                  <c:v>-12.3545700462171</c:v>
                </c:pt>
                <c:pt idx="2">
                  <c:v>-11.56292675257782</c:v>
                </c:pt>
                <c:pt idx="3">
                  <c:v>-12.13026025997612</c:v>
                </c:pt>
                <c:pt idx="4">
                  <c:v>-13.08931141450361</c:v>
                </c:pt>
                <c:pt idx="5">
                  <c:v>-16.82741984532106</c:v>
                </c:pt>
                <c:pt idx="6">
                  <c:v>-18.216985584239001</c:v>
                </c:pt>
                <c:pt idx="7">
                  <c:v>-15.26559666321571</c:v>
                </c:pt>
                <c:pt idx="8">
                  <c:v>-16.814091296440669</c:v>
                </c:pt>
                <c:pt idx="9">
                  <c:v>-14.6950768813676</c:v>
                </c:pt>
                <c:pt idx="10">
                  <c:v>-15.384579355374401</c:v>
                </c:pt>
                <c:pt idx="11">
                  <c:v>-18.535154050166231</c:v>
                </c:pt>
                <c:pt idx="12">
                  <c:v>-17.970093613595061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'Konya Perakende Güven Endeksi'!$A$9</c:f>
              <c:strCache>
                <c:ptCount val="1"/>
                <c:pt idx="0">
                  <c:v>AB-28</c:v>
                </c:pt>
              </c:strCache>
            </c:strRef>
          </c:tx>
          <c:spPr>
            <a:ln w="4445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'Konya Perakende Güven Endeksi'!$BA$6:$BM$6</c:f>
              <c:numCache>
                <c:formatCode>[$-41F]mmmm\ yy;@</c:formatCode>
                <c:ptCount val="13"/>
                <c:pt idx="0">
                  <c:v>42492</c:v>
                </c:pt>
                <c:pt idx="1">
                  <c:v>42523</c:v>
                </c:pt>
                <c:pt idx="2">
                  <c:v>42553</c:v>
                </c:pt>
                <c:pt idx="3">
                  <c:v>42584</c:v>
                </c:pt>
                <c:pt idx="4">
                  <c:v>42615</c:v>
                </c:pt>
                <c:pt idx="5">
                  <c:v>42645</c:v>
                </c:pt>
                <c:pt idx="6">
                  <c:v>42676</c:v>
                </c:pt>
                <c:pt idx="7">
                  <c:v>42706</c:v>
                </c:pt>
                <c:pt idx="8">
                  <c:v>42737</c:v>
                </c:pt>
                <c:pt idx="9">
                  <c:v>42768</c:v>
                </c:pt>
                <c:pt idx="10">
                  <c:v>42796</c:v>
                </c:pt>
                <c:pt idx="11">
                  <c:v>42827</c:v>
                </c:pt>
                <c:pt idx="12">
                  <c:v>42857</c:v>
                </c:pt>
              </c:numCache>
            </c:numRef>
          </c:cat>
          <c:val>
            <c:numRef>
              <c:f>'Konya Perakende Güven Endeksi'!$BA$9:$BM$9</c:f>
              <c:numCache>
                <c:formatCode>#,##0.0</c:formatCode>
                <c:ptCount val="13"/>
                <c:pt idx="0">
                  <c:v>3</c:v>
                </c:pt>
                <c:pt idx="1">
                  <c:v>1.6</c:v>
                </c:pt>
                <c:pt idx="2">
                  <c:v>1</c:v>
                </c:pt>
                <c:pt idx="3">
                  <c:v>-0.3</c:v>
                </c:pt>
                <c:pt idx="4">
                  <c:v>1.2</c:v>
                </c:pt>
                <c:pt idx="5">
                  <c:v>1.5</c:v>
                </c:pt>
                <c:pt idx="6">
                  <c:v>4.8</c:v>
                </c:pt>
                <c:pt idx="7">
                  <c:v>4.7</c:v>
                </c:pt>
                <c:pt idx="8">
                  <c:v>2.8</c:v>
                </c:pt>
                <c:pt idx="9">
                  <c:v>3.3</c:v>
                </c:pt>
                <c:pt idx="10">
                  <c:v>4.0999999999999996</c:v>
                </c:pt>
                <c:pt idx="11" formatCode="0.0">
                  <c:v>5</c:v>
                </c:pt>
                <c:pt idx="12" formatCode="General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661376"/>
        <c:axId val="104662912"/>
      </c:lineChart>
      <c:dateAx>
        <c:axId val="10466137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high"/>
        <c:spPr>
          <a:ln w="19050">
            <a:solidFill>
              <a:sysClr val="windowText" lastClr="000000"/>
            </a:solidFill>
          </a:ln>
        </c:spPr>
        <c:txPr>
          <a:bodyPr rot="-2700000" anchor="ctr" anchorCtr="1"/>
          <a:lstStyle/>
          <a:p>
            <a:pPr>
              <a:defRPr b="1" i="0" baseline="0"/>
            </a:pPr>
            <a:endParaRPr lang="tr-TR"/>
          </a:p>
        </c:txPr>
        <c:crossAx val="104662912"/>
        <c:crosses val="autoZero"/>
        <c:auto val="1"/>
        <c:lblOffset val="100"/>
        <c:baseTimeUnit val="months"/>
      </c:dateAx>
      <c:valAx>
        <c:axId val="10466291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b="1" i="0" baseline="0"/>
            </a:pPr>
            <a:endParaRPr lang="tr-TR"/>
          </a:p>
        </c:txPr>
        <c:crossAx val="104661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24715899583698E-3"/>
          <c:y val="0.89632733408323995"/>
          <c:w val="0.99139763779527601"/>
          <c:h val="8.6109111361079793E-2"/>
        </c:manualLayout>
      </c:layout>
      <c:overlay val="0"/>
      <c:txPr>
        <a:bodyPr/>
        <a:lstStyle/>
        <a:p>
          <a:pPr>
            <a:defRPr sz="1000" b="1"/>
          </a:pPr>
          <a:endParaRPr lang="tr-TR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0.0829</cdr:x>
      <cdr:y>0.49274</cdr:y>
    </cdr:from>
    <cdr:to>
      <cdr:x>0.98185</cdr:x>
      <cdr:y>0.49358</cdr:y>
    </cdr:to>
    <cdr:sp macro="" textlink="">
      <cdr:nvSpPr>
        <cdr:cNvPr id="2" name="2 Düz Bağlayıcı"/>
        <cdr:cNvSpPr/>
      </cdr:nvSpPr>
      <cdr:spPr>
        <a:xfrm xmlns:a="http://schemas.openxmlformats.org/drawingml/2006/main" flipV="1">
          <a:off x="477453" y="1518765"/>
          <a:ext cx="5177457" cy="25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tr-TR"/>
        </a:p>
      </cdr:txBody>
    </cdr:sp>
  </cdr:relSizeAnchor>
  <cdr:relSizeAnchor xmlns:cdr="http://schemas.openxmlformats.org/drawingml/2006/chartDrawing">
    <cdr:from>
      <cdr:x>0.79544</cdr:x>
      <cdr:y>0.41503</cdr:y>
    </cdr:from>
    <cdr:to>
      <cdr:x>0.92609</cdr:x>
      <cdr:y>0.47565</cdr:y>
    </cdr:to>
    <cdr:sp macro="" textlink="">
      <cdr:nvSpPr>
        <cdr:cNvPr id="3" name="3 Metin kutusu"/>
        <cdr:cNvSpPr txBox="1"/>
      </cdr:nvSpPr>
      <cdr:spPr>
        <a:xfrm xmlns:a="http://schemas.openxmlformats.org/drawingml/2006/main">
          <a:off x="4799322" y="1340135"/>
          <a:ext cx="788284" cy="195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100">
              <a:solidFill>
                <a:srgbClr val="FF0000"/>
              </a:solidFill>
            </a:rPr>
            <a:t>Ortalama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CAD3-8F4B-465E-B098-448A6D6C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tepav15</dc:creator>
  <cp:lastModifiedBy>x</cp:lastModifiedBy>
  <cp:revision>3</cp:revision>
  <cp:lastPrinted>2017-06-19T11:01:00Z</cp:lastPrinted>
  <dcterms:created xsi:type="dcterms:W3CDTF">2017-06-03T17:42:00Z</dcterms:created>
  <dcterms:modified xsi:type="dcterms:W3CDTF">2017-06-19T11:01:00Z</dcterms:modified>
</cp:coreProperties>
</file>