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Nisan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FE2D1A" w:rsidP="007E6746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46068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Haziran 2017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460688" w:rsidP="00AD2065">
      <w:pPr>
        <w:rPr>
          <w:b/>
        </w:rPr>
      </w:pPr>
      <w:r>
        <w:rPr>
          <w:b/>
        </w:rPr>
        <w:t>Nisan</w:t>
      </w:r>
      <w:r w:rsidR="007E6746">
        <w:rPr>
          <w:b/>
        </w:rPr>
        <w:t xml:space="preserve"> </w:t>
      </w:r>
      <w:r>
        <w:rPr>
          <w:b/>
        </w:rPr>
        <w:t>2017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 w:rsidR="00FE2D1A">
        <w:rPr>
          <w:b/>
        </w:rPr>
        <w:t>8</w:t>
      </w:r>
      <w:r w:rsidR="00EF4E45" w:rsidRPr="00EF4E45">
        <w:rPr>
          <w:b/>
        </w:rPr>
        <w:t xml:space="preserve"> </w:t>
      </w:r>
      <w:r>
        <w:rPr>
          <w:b/>
        </w:rPr>
        <w:t>Haziran</w:t>
      </w:r>
      <w:r w:rsidR="00FE2D1A">
        <w:rPr>
          <w:b/>
        </w:rPr>
        <w:t xml:space="preserve"> </w:t>
      </w:r>
      <w:r>
        <w:rPr>
          <w:b/>
        </w:rPr>
        <w:t>2017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FD0F6A" w:rsidRPr="006D330B" w:rsidRDefault="00FD0F6A" w:rsidP="0043515F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460688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731D00E8" wp14:editId="40DAFB50">
            <wp:extent cx="6057900" cy="2381250"/>
            <wp:effectExtent l="0" t="0" r="1905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CC" w:rsidRPr="00FE2D1A" w:rsidRDefault="0092656D" w:rsidP="00C144CC">
      <w:pPr>
        <w:jc w:val="both"/>
      </w:pPr>
      <w:r>
        <w:t>Nisan</w:t>
      </w:r>
      <w:r w:rsidR="00574C38" w:rsidRPr="00C144CC">
        <w:t xml:space="preserve"> ayında Türkiye (TR) </w:t>
      </w:r>
      <w:r w:rsidR="00574C38" w:rsidRPr="00C04441">
        <w:t xml:space="preserve">Geneli </w:t>
      </w:r>
      <w:r w:rsidR="007B58E6" w:rsidRPr="00C04441">
        <w:t>Sanayi Üretim Endeksi</w:t>
      </w:r>
      <w:r w:rsidR="00574C38" w:rsidRPr="00C04441">
        <w:t xml:space="preserve"> </w:t>
      </w:r>
      <w:r w:rsidR="00574C38" w:rsidRPr="00FD0F6A">
        <w:rPr>
          <w:b/>
          <w:u w:val="single"/>
        </w:rPr>
        <w:t>bir önceki aya (</w:t>
      </w:r>
      <w:r>
        <w:rPr>
          <w:b/>
          <w:u w:val="single"/>
        </w:rPr>
        <w:t>Mart 2017</w:t>
      </w:r>
      <w:r w:rsidR="00574C38" w:rsidRPr="00FD0F6A">
        <w:rPr>
          <w:b/>
          <w:u w:val="single"/>
        </w:rPr>
        <w:t>) göre</w:t>
      </w:r>
      <w:r w:rsidR="00574C38" w:rsidRPr="00C04441">
        <w:t xml:space="preserve"> yüzde </w:t>
      </w:r>
      <w:r>
        <w:t>2,3</w:t>
      </w:r>
      <w:r w:rsidR="00FD0F6A">
        <w:t xml:space="preserve"> </w:t>
      </w:r>
      <w:r>
        <w:t>artış</w:t>
      </w:r>
      <w:r w:rsidR="00FE2D1A">
        <w:t xml:space="preserve"> </w:t>
      </w:r>
      <w:r w:rsidR="00FD0F6A" w:rsidRPr="00FE2D1A">
        <w:t>göstermiştir</w:t>
      </w:r>
      <w:r w:rsidR="00574C38" w:rsidRPr="00FE2D1A">
        <w:t xml:space="preserve">. </w:t>
      </w:r>
      <w:r>
        <w:t>Nisan (2017</w:t>
      </w:r>
      <w:r w:rsidR="00574C38" w:rsidRPr="00FE2D1A">
        <w:t>) ayında</w:t>
      </w:r>
      <w:r w:rsidR="007E6746">
        <w:t xml:space="preserve">ki </w:t>
      </w:r>
      <w:r w:rsidR="00DB1F8E">
        <w:t xml:space="preserve">artışta </w:t>
      </w:r>
      <w:r w:rsidR="007E6746">
        <w:t xml:space="preserve">bir önceki </w:t>
      </w:r>
      <w:r>
        <w:t>aya göre</w:t>
      </w:r>
      <w:r w:rsidR="00DB1F8E">
        <w:t xml:space="preserve"> </w:t>
      </w:r>
      <w:r>
        <w:t>imalat sanayindeki yüzde 2,6’lı</w:t>
      </w:r>
      <w:r w:rsidR="007E6746">
        <w:t>k</w:t>
      </w:r>
      <w:r>
        <w:t xml:space="preserve">, madencilik ve </w:t>
      </w:r>
      <w:proofErr w:type="spellStart"/>
      <w:r>
        <w:t>taşocakçılığı</w:t>
      </w:r>
      <w:proofErr w:type="spellEnd"/>
      <w:r>
        <w:t xml:space="preserve"> sektöründeki yüzde 1,8’lik ve </w:t>
      </w:r>
      <w:r w:rsidR="0003703C">
        <w:t>elektrik, gaz buharı ve iklimlendirme üretimi ve</w:t>
      </w:r>
      <w:r>
        <w:t xml:space="preserve"> dağımı sektöründeki yüzde 0,4’lük artışın etkili olduğu görülmektedir.</w:t>
      </w:r>
    </w:p>
    <w:p w:rsidR="007B58E6" w:rsidRPr="00FE2D1A" w:rsidRDefault="00C04441" w:rsidP="007B58E6">
      <w:pPr>
        <w:jc w:val="both"/>
      </w:pPr>
      <w:r w:rsidRPr="00FE2D1A">
        <w:t>Ana sanayi gruplarına</w:t>
      </w:r>
      <w:r w:rsidR="007B58E6" w:rsidRPr="00FE2D1A">
        <w:t xml:space="preserve"> bakıldığında </w:t>
      </w:r>
      <w:r w:rsidR="0003703C">
        <w:t xml:space="preserve">toplam sanayi endeksindeki </w:t>
      </w:r>
      <w:r w:rsidR="00521423">
        <w:t>artışta</w:t>
      </w:r>
      <w:r w:rsidR="007B58E6" w:rsidRPr="00FE2D1A">
        <w:t xml:space="preserve"> </w:t>
      </w:r>
      <w:r w:rsidR="00FE2D1A" w:rsidRPr="00FE2D1A">
        <w:t>sermaye</w:t>
      </w:r>
      <w:r w:rsidRPr="00FE2D1A">
        <w:t xml:space="preserve"> </w:t>
      </w:r>
      <w:r w:rsidR="00521423">
        <w:t>malı, dayanıklı tüketim malı ve enerjide</w:t>
      </w:r>
      <w:r w:rsidR="007B58E6" w:rsidRPr="00FE2D1A">
        <w:t xml:space="preserve"> </w:t>
      </w:r>
      <w:r w:rsidR="00521423">
        <w:t>yaşanan artışın</w:t>
      </w:r>
      <w:r w:rsidR="007B58E6" w:rsidRPr="00FE2D1A">
        <w:t xml:space="preserve"> etkisi oldu</w:t>
      </w:r>
      <w:r w:rsidR="00FD0F6A" w:rsidRPr="00FE2D1A">
        <w:t>ğu görülmektedir</w:t>
      </w:r>
      <w:r w:rsidR="00521423">
        <w:t xml:space="preserve"> (sırasıyla yüzde 12,2, yüzde 0,5 ve yüzde 0,2</w:t>
      </w:r>
      <w:r w:rsidR="0003703C">
        <w:t xml:space="preserve">’lik </w:t>
      </w:r>
      <w:r w:rsidR="00521423">
        <w:t>artışlar</w:t>
      </w:r>
      <w:r w:rsidR="0003703C">
        <w:t>)</w:t>
      </w:r>
      <w:r w:rsidR="007B58E6" w:rsidRPr="00FE2D1A">
        <w:t>.</w:t>
      </w:r>
    </w:p>
    <w:p w:rsidR="00517288" w:rsidRPr="00FE2D1A" w:rsidRDefault="00517288" w:rsidP="00517288">
      <w:pPr>
        <w:jc w:val="both"/>
        <w:rPr>
          <w:highlight w:val="yellow"/>
        </w:rPr>
      </w:pPr>
      <w:r w:rsidRPr="00FE2D1A">
        <w:t xml:space="preserve">İmalat sanayinin alt sektörlerinde geçen aya göre </w:t>
      </w:r>
      <w:r w:rsidR="00923FD3" w:rsidRPr="00FE2D1A">
        <w:t xml:space="preserve">en fazla </w:t>
      </w:r>
      <w:r w:rsidR="00521423">
        <w:t>artış</w:t>
      </w:r>
      <w:r w:rsidR="00923FD3" w:rsidRPr="00FE2D1A">
        <w:t xml:space="preserve"> diğ</w:t>
      </w:r>
      <w:r w:rsidR="00521423">
        <w:t>er ulaşım araçlarının imalatı ( yüzde 140,7</w:t>
      </w:r>
      <w:r w:rsidR="00802F1A">
        <w:t>) sektöründe gerçekleşti. Bu sektörü</w:t>
      </w:r>
      <w:r w:rsidR="00923FD3" w:rsidRPr="00FE2D1A">
        <w:t>,</w:t>
      </w:r>
      <w:r w:rsidR="00521423">
        <w:t xml:space="preserve"> yüzde 19,5</w:t>
      </w:r>
      <w:r w:rsidR="00923FD3" w:rsidRPr="00FE2D1A">
        <w:t xml:space="preserve"> </w:t>
      </w:r>
      <w:r w:rsidR="00521423" w:rsidRPr="00521423">
        <w:t>ile bilgisayarların, elektronik</w:t>
      </w:r>
      <w:r w:rsidR="00521423">
        <w:t xml:space="preserve"> ve optik ürünlerin imalatı ve yüzde </w:t>
      </w:r>
      <w:r w:rsidR="00521423" w:rsidRPr="00521423">
        <w:t xml:space="preserve">6,9 ile temel eczacılık ürünlerinin ve eczacılığa ilişkin malzemelerin imalatı </w:t>
      </w:r>
      <w:r w:rsidR="00802F1A">
        <w:t xml:space="preserve">sektörleri </w:t>
      </w:r>
      <w:r w:rsidR="00521423" w:rsidRPr="00521423">
        <w:t xml:space="preserve">takip etti. </w:t>
      </w:r>
      <w:r w:rsidR="00521423">
        <w:t>E</w:t>
      </w:r>
      <w:r w:rsidR="00521423" w:rsidRPr="00521423">
        <w:t xml:space="preserve">n fazla azalış </w:t>
      </w:r>
      <w:r w:rsidR="00521423">
        <w:t xml:space="preserve">ise yüzde </w:t>
      </w:r>
      <w:r w:rsidR="00521423" w:rsidRPr="00521423">
        <w:t xml:space="preserve">6 ile makine ve </w:t>
      </w:r>
      <w:proofErr w:type="gramStart"/>
      <w:r w:rsidR="00521423" w:rsidRPr="00521423">
        <w:t>eki</w:t>
      </w:r>
      <w:r w:rsidR="00802F1A">
        <w:t>pmanların</w:t>
      </w:r>
      <w:proofErr w:type="gramEnd"/>
      <w:r w:rsidR="00802F1A">
        <w:t xml:space="preserve"> kurulumu ve onarımı sektöründe</w:t>
      </w:r>
      <w:r w:rsidR="00521423" w:rsidRPr="00521423">
        <w:t xml:space="preserve"> gerçekleşti.</w:t>
      </w:r>
    </w:p>
    <w:p w:rsidR="00160C8F" w:rsidRPr="00756492" w:rsidRDefault="00160C8F" w:rsidP="00160C8F">
      <w:pPr>
        <w:jc w:val="both"/>
      </w:pPr>
      <w:r w:rsidRPr="00756492">
        <w:lastRenderedPageBreak/>
        <w:t xml:space="preserve">Endeks </w:t>
      </w:r>
      <w:r w:rsidRPr="00756492">
        <w:rPr>
          <w:b/>
          <w:u w:val="single"/>
        </w:rPr>
        <w:t>bir önceki yılın aynı ayına göre</w:t>
      </w:r>
      <w:r w:rsidRPr="00756492">
        <w:t xml:space="preserve"> yüzde </w:t>
      </w:r>
      <w:r w:rsidR="009D3086">
        <w:t>6</w:t>
      </w:r>
      <w:r w:rsidR="00D72BD4">
        <w:t>,7</w:t>
      </w:r>
      <w:r w:rsidRPr="00756492">
        <w:t xml:space="preserve"> oranında </w:t>
      </w:r>
      <w:r w:rsidR="00756492">
        <w:t xml:space="preserve">artış </w:t>
      </w:r>
      <w:r w:rsidRPr="00756492">
        <w:t xml:space="preserve">göstermiştir. </w:t>
      </w:r>
      <w:r w:rsidR="009D3086">
        <w:t>Nisan (2017</w:t>
      </w:r>
      <w:r w:rsidRPr="00756492">
        <w:t xml:space="preserve">) ayında önceki yıla göre ana sanayi </w:t>
      </w:r>
      <w:r w:rsidR="00C04441" w:rsidRPr="00756492">
        <w:t>sektörleri</w:t>
      </w:r>
      <w:r w:rsidRPr="00756492">
        <w:t xml:space="preserve"> itibariyle en yüksek artış yüzde </w:t>
      </w:r>
      <w:r w:rsidR="009D3086">
        <w:t>7</w:t>
      </w:r>
      <w:r w:rsidR="00C04441" w:rsidRPr="00756492">
        <w:t>,</w:t>
      </w:r>
      <w:r w:rsidR="00D72BD4">
        <w:t>3</w:t>
      </w:r>
      <w:r w:rsidRPr="00756492">
        <w:t xml:space="preserve"> ile </w:t>
      </w:r>
      <w:r w:rsidR="0028186A">
        <w:t>imalat sanayi sektöründe</w:t>
      </w:r>
      <w:r w:rsidR="009D3086">
        <w:t xml:space="preserve"> </w:t>
      </w:r>
      <w:r w:rsidRPr="00756492">
        <w:t xml:space="preserve">yaşanırken, bunu yüzde </w:t>
      </w:r>
      <w:r w:rsidR="009D3086">
        <w:t>4,8</w:t>
      </w:r>
      <w:r w:rsidR="00D72BD4">
        <w:t>’lik</w:t>
      </w:r>
      <w:r w:rsidRPr="00756492">
        <w:t xml:space="preserve"> artışla </w:t>
      </w:r>
      <w:r w:rsidR="00C04441" w:rsidRPr="00756492">
        <w:t>elektrik, gaz, buhar ve iklimlendirme üretimi ve dağıtımı</w:t>
      </w:r>
      <w:r w:rsidR="00D72BD4">
        <w:t xml:space="preserve"> </w:t>
      </w:r>
      <w:r w:rsidR="009D3086">
        <w:t>ve yüzde 1,3’</w:t>
      </w:r>
      <w:r w:rsidR="0028186A">
        <w:t xml:space="preserve">lük artışla madencilik ve </w:t>
      </w:r>
      <w:proofErr w:type="spellStart"/>
      <w:r w:rsidR="0028186A">
        <w:t>taş</w:t>
      </w:r>
      <w:r w:rsidR="009D3086">
        <w:t>ocakçılığı</w:t>
      </w:r>
      <w:proofErr w:type="spellEnd"/>
      <w:r w:rsidR="009D3086">
        <w:t xml:space="preserve"> </w:t>
      </w:r>
      <w:r w:rsidR="0028186A">
        <w:t xml:space="preserve">sektörleri </w:t>
      </w:r>
      <w:r w:rsidR="009D3086">
        <w:t>takip etti.</w:t>
      </w:r>
    </w:p>
    <w:p w:rsidR="00160C8F" w:rsidRPr="004D5C8C" w:rsidRDefault="00C04441" w:rsidP="00160C8F">
      <w:pPr>
        <w:jc w:val="both"/>
      </w:pPr>
      <w:r w:rsidRPr="004D5C8C">
        <w:t>Ana sanayi gruplarına</w:t>
      </w:r>
      <w:r w:rsidR="00160C8F" w:rsidRPr="004D5C8C">
        <w:t xml:space="preserve"> bakıldığında</w:t>
      </w:r>
      <w:r w:rsidR="00D72BD4">
        <w:t>,</w:t>
      </w:r>
      <w:r w:rsidRPr="004D5C8C">
        <w:t xml:space="preserve"> </w:t>
      </w:r>
      <w:r w:rsidR="009D3086">
        <w:t>sermaye malı imalatında yüzde 24,7</w:t>
      </w:r>
      <w:r w:rsidR="00D72BD4">
        <w:t>’lik</w:t>
      </w:r>
      <w:r w:rsidR="009D3086">
        <w:t>, dayanıklı tüketim malı imalatında yüzde 16,2’</w:t>
      </w:r>
      <w:r w:rsidR="0028186A">
        <w:t>lik, enerji imalatında</w:t>
      </w:r>
      <w:r w:rsidR="009D3086">
        <w:t xml:space="preserve"> yüzde 7,5’lik ve ara mal imalatında yüzde 2,2’lik</w:t>
      </w:r>
      <w:r w:rsidR="00D72BD4">
        <w:t xml:space="preserve"> artışa karşın</w:t>
      </w:r>
      <w:r w:rsidR="009D3086">
        <w:t xml:space="preserve">; </w:t>
      </w:r>
      <w:r w:rsidR="00D72BD4">
        <w:t xml:space="preserve"> </w:t>
      </w:r>
      <w:r w:rsidR="009D3086">
        <w:t xml:space="preserve">dayanıksız tüketim malı imalatında yüzde 2,5’lik </w:t>
      </w:r>
      <w:r w:rsidR="00D72BD4">
        <w:t>azalış yaşandığı görülmektedir.</w:t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350144">
        <w:rPr>
          <w:rFonts w:eastAsia="Times New Roman" w:cs="Times New Roman"/>
          <w:b/>
          <w:bCs/>
          <w:kern w:val="36"/>
          <w:sz w:val="24"/>
          <w:szCs w:val="24"/>
        </w:rPr>
        <w:t>Kasım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 </w:t>
      </w:r>
    </w:p>
    <w:p w:rsidR="00ED46EA" w:rsidRPr="004D5C8C" w:rsidRDefault="00FD0F6A" w:rsidP="00CF56C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(takvim etkisinden arındırılmış, 2010=100)</w:t>
      </w:r>
    </w:p>
    <w:p w:rsidR="00FD0F6A" w:rsidRPr="00CF56CB" w:rsidRDefault="00CF56CB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  <w:r>
        <w:rPr>
          <w:noProof/>
        </w:rPr>
        <w:drawing>
          <wp:inline distT="0" distB="0" distL="0" distR="0" wp14:anchorId="2B1EEB50" wp14:editId="21E4E876">
            <wp:extent cx="5210175" cy="2743200"/>
            <wp:effectExtent l="0" t="0" r="9525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D72BD4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ED46EA">
              <w:rPr>
                <w:b/>
              </w:rPr>
              <w:t>Nisan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hideMark/>
          </w:tcPr>
          <w:p w:rsidR="00D72BD4" w:rsidRPr="004D5C8C" w:rsidRDefault="00ED46EA" w:rsidP="004D5C8C">
            <w:pPr>
              <w:jc w:val="center"/>
            </w:pPr>
            <w:r>
              <w:t>-0,2</w:t>
            </w:r>
          </w:p>
        </w:tc>
        <w:tc>
          <w:tcPr>
            <w:tcW w:w="2067" w:type="dxa"/>
            <w:noWrap/>
            <w:hideMark/>
          </w:tcPr>
          <w:p w:rsidR="00D72BD4" w:rsidRPr="004D5C8C" w:rsidRDefault="00ED46EA" w:rsidP="00900F92">
            <w:pPr>
              <w:jc w:val="center"/>
            </w:pPr>
            <w:r>
              <w:t>2,2</w:t>
            </w:r>
          </w:p>
        </w:tc>
      </w:tr>
      <w:tr w:rsidR="00D72BD4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hideMark/>
          </w:tcPr>
          <w:p w:rsidR="00D72BD4" w:rsidRPr="004D5C8C" w:rsidRDefault="00ED46EA" w:rsidP="004D5C8C">
            <w:pPr>
              <w:jc w:val="center"/>
            </w:pPr>
            <w:r>
              <w:t>0,5</w:t>
            </w:r>
          </w:p>
        </w:tc>
        <w:tc>
          <w:tcPr>
            <w:tcW w:w="2067" w:type="dxa"/>
            <w:noWrap/>
            <w:hideMark/>
          </w:tcPr>
          <w:p w:rsidR="00D72BD4" w:rsidRPr="004D5C8C" w:rsidRDefault="00ED46EA" w:rsidP="00900F92">
            <w:pPr>
              <w:jc w:val="center"/>
            </w:pPr>
            <w:r>
              <w:t>16,2</w:t>
            </w:r>
          </w:p>
        </w:tc>
      </w:tr>
      <w:tr w:rsidR="00D72BD4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hideMark/>
          </w:tcPr>
          <w:p w:rsidR="00D72BD4" w:rsidRPr="004D5C8C" w:rsidRDefault="00ED46EA" w:rsidP="004D5C8C">
            <w:pPr>
              <w:jc w:val="center"/>
            </w:pPr>
            <w:r>
              <w:t>-0,2</w:t>
            </w:r>
          </w:p>
        </w:tc>
        <w:tc>
          <w:tcPr>
            <w:tcW w:w="2067" w:type="dxa"/>
            <w:noWrap/>
            <w:hideMark/>
          </w:tcPr>
          <w:p w:rsidR="00D72BD4" w:rsidRPr="004D5C8C" w:rsidRDefault="00ED46EA" w:rsidP="00900F92">
            <w:pPr>
              <w:jc w:val="center"/>
            </w:pPr>
            <w:r>
              <w:t>-2,5</w:t>
            </w:r>
          </w:p>
        </w:tc>
      </w:tr>
      <w:tr w:rsidR="00D72BD4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hideMark/>
          </w:tcPr>
          <w:p w:rsidR="00D72BD4" w:rsidRPr="004D5C8C" w:rsidRDefault="00D72BD4" w:rsidP="00D72BD4">
            <w:r>
              <w:t xml:space="preserve">                 </w:t>
            </w:r>
            <w:r w:rsidR="00ED46EA">
              <w:t>0,2</w:t>
            </w:r>
          </w:p>
        </w:tc>
        <w:tc>
          <w:tcPr>
            <w:tcW w:w="2067" w:type="dxa"/>
            <w:noWrap/>
            <w:hideMark/>
          </w:tcPr>
          <w:p w:rsidR="00D72BD4" w:rsidRPr="004D5C8C" w:rsidRDefault="00ED46EA" w:rsidP="00900F92">
            <w:pPr>
              <w:jc w:val="center"/>
            </w:pPr>
            <w:r>
              <w:t>7,5</w:t>
            </w:r>
          </w:p>
        </w:tc>
      </w:tr>
      <w:tr w:rsidR="00D72BD4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hideMark/>
          </w:tcPr>
          <w:p w:rsidR="00D72BD4" w:rsidRPr="004D5C8C" w:rsidRDefault="00ED46EA" w:rsidP="00D72BD4">
            <w:pPr>
              <w:jc w:val="center"/>
            </w:pPr>
            <w:r>
              <w:t>12,2</w:t>
            </w:r>
          </w:p>
        </w:tc>
        <w:tc>
          <w:tcPr>
            <w:tcW w:w="2067" w:type="dxa"/>
            <w:noWrap/>
            <w:hideMark/>
          </w:tcPr>
          <w:p w:rsidR="00D72BD4" w:rsidRPr="004D5C8C" w:rsidRDefault="00ED46EA" w:rsidP="00900F92">
            <w:pPr>
              <w:jc w:val="center"/>
            </w:pPr>
            <w:r>
              <w:t>24,7</w:t>
            </w:r>
          </w:p>
        </w:tc>
      </w:tr>
      <w:tr w:rsidR="00D72BD4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hideMark/>
          </w:tcPr>
          <w:p w:rsidR="00D72BD4" w:rsidRPr="004D5C8C" w:rsidRDefault="00ED46EA" w:rsidP="004D5C8C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067" w:type="dxa"/>
            <w:noWrap/>
            <w:hideMark/>
          </w:tcPr>
          <w:p w:rsidR="00D72BD4" w:rsidRPr="004D5C8C" w:rsidRDefault="00ED46EA" w:rsidP="00900F92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43515F" w:rsidRPr="004D5C8C" w:rsidTr="0043515F">
        <w:trPr>
          <w:trHeight w:val="264"/>
        </w:trPr>
        <w:tc>
          <w:tcPr>
            <w:tcW w:w="4110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D72BD4">
            <w:pPr>
              <w:jc w:val="both"/>
            </w:pPr>
            <w:r w:rsidRPr="004D5C8C">
              <w:rPr>
                <w:b/>
              </w:rPr>
              <w:t xml:space="preserve">Tablo 2: Sanayi Üretim Endeksi Sektörel Büyüme Oranları, </w:t>
            </w:r>
            <w:r w:rsidR="00ED46EA">
              <w:rPr>
                <w:b/>
              </w:rPr>
              <w:t>Nisan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ED46EA" w:rsidP="008A575D">
            <w:pPr>
              <w:jc w:val="center"/>
            </w:pPr>
            <w:r>
              <w:t>1</w:t>
            </w:r>
            <w:r w:rsidR="00D72BD4">
              <w:t>,8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ED46EA" w:rsidP="008A575D">
            <w:pPr>
              <w:jc w:val="center"/>
            </w:pPr>
            <w:r>
              <w:t>1</w:t>
            </w:r>
            <w:r w:rsidR="00424CC0" w:rsidRPr="004D5C8C">
              <w:t>,</w:t>
            </w:r>
            <w:r w:rsidR="00D72BD4">
              <w:t>3</w:t>
            </w: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ED46EA" w:rsidP="00D72BD4">
            <w:pPr>
              <w:jc w:val="center"/>
            </w:pPr>
            <w:r>
              <w:t>2,6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ED46EA" w:rsidP="004D5C8C">
            <w:pPr>
              <w:jc w:val="center"/>
            </w:pPr>
            <w:r>
              <w:t>7,3</w:t>
            </w: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ED46EA" w:rsidP="008A575D">
            <w:pPr>
              <w:jc w:val="center"/>
            </w:pPr>
            <w:r>
              <w:t>0,4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ED46EA" w:rsidP="008A575D">
            <w:pPr>
              <w:jc w:val="center"/>
            </w:pPr>
            <w:r>
              <w:t>4,8</w:t>
            </w:r>
          </w:p>
        </w:tc>
      </w:tr>
      <w:tr w:rsidR="00160C8F" w:rsidRPr="00160C8F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ED46EA" w:rsidP="004D5C8C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067" w:type="dxa"/>
            <w:noWrap/>
            <w:hideMark/>
          </w:tcPr>
          <w:p w:rsidR="00160C8F" w:rsidRPr="00424CC0" w:rsidRDefault="00ED46EA" w:rsidP="008A57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72BD4">
              <w:rPr>
                <w:b/>
              </w:rPr>
              <w:t>,7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14" w:rsidRDefault="00AF0714" w:rsidP="00C04441">
      <w:pPr>
        <w:spacing w:after="0" w:line="240" w:lineRule="auto"/>
      </w:pPr>
      <w:r>
        <w:separator/>
      </w:r>
    </w:p>
  </w:endnote>
  <w:endnote w:type="continuationSeparator" w:id="0">
    <w:p w:rsidR="00AF0714" w:rsidRDefault="00AF0714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14" w:rsidRDefault="00AF0714" w:rsidP="00C04441">
      <w:pPr>
        <w:spacing w:after="0" w:line="240" w:lineRule="auto"/>
      </w:pPr>
      <w:r>
        <w:separator/>
      </w:r>
    </w:p>
  </w:footnote>
  <w:footnote w:type="continuationSeparator" w:id="0">
    <w:p w:rsidR="00AF0714" w:rsidRDefault="00AF0714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3703C"/>
    <w:rsid w:val="000701FD"/>
    <w:rsid w:val="000B7EA9"/>
    <w:rsid w:val="000D18BE"/>
    <w:rsid w:val="000E6C35"/>
    <w:rsid w:val="00112C0F"/>
    <w:rsid w:val="001243A0"/>
    <w:rsid w:val="00160C8F"/>
    <w:rsid w:val="001E11A2"/>
    <w:rsid w:val="001E5A63"/>
    <w:rsid w:val="001F7633"/>
    <w:rsid w:val="00233BD5"/>
    <w:rsid w:val="0028186A"/>
    <w:rsid w:val="002B2CC6"/>
    <w:rsid w:val="002B53E4"/>
    <w:rsid w:val="002D3E19"/>
    <w:rsid w:val="00350144"/>
    <w:rsid w:val="00351561"/>
    <w:rsid w:val="00357954"/>
    <w:rsid w:val="003641B3"/>
    <w:rsid w:val="003733E7"/>
    <w:rsid w:val="003A57CB"/>
    <w:rsid w:val="003F2715"/>
    <w:rsid w:val="00407EC9"/>
    <w:rsid w:val="00424CC0"/>
    <w:rsid w:val="00432DF5"/>
    <w:rsid w:val="0043515F"/>
    <w:rsid w:val="00460688"/>
    <w:rsid w:val="004D5C8C"/>
    <w:rsid w:val="00517288"/>
    <w:rsid w:val="00521423"/>
    <w:rsid w:val="00522A6C"/>
    <w:rsid w:val="005405F5"/>
    <w:rsid w:val="00544D61"/>
    <w:rsid w:val="00574C38"/>
    <w:rsid w:val="005C53F8"/>
    <w:rsid w:val="006020BD"/>
    <w:rsid w:val="00677B0D"/>
    <w:rsid w:val="006D41B5"/>
    <w:rsid w:val="0070186C"/>
    <w:rsid w:val="00731B2B"/>
    <w:rsid w:val="007330A1"/>
    <w:rsid w:val="007441EB"/>
    <w:rsid w:val="00756492"/>
    <w:rsid w:val="007700BF"/>
    <w:rsid w:val="007736BE"/>
    <w:rsid w:val="007A6AB2"/>
    <w:rsid w:val="007B58E6"/>
    <w:rsid w:val="007E6746"/>
    <w:rsid w:val="00802F1A"/>
    <w:rsid w:val="008A575D"/>
    <w:rsid w:val="008C27EF"/>
    <w:rsid w:val="008C2C15"/>
    <w:rsid w:val="008C7F9E"/>
    <w:rsid w:val="008D1077"/>
    <w:rsid w:val="00907E0D"/>
    <w:rsid w:val="00923FD3"/>
    <w:rsid w:val="0092656D"/>
    <w:rsid w:val="00935B34"/>
    <w:rsid w:val="009A6E86"/>
    <w:rsid w:val="009D3086"/>
    <w:rsid w:val="009F0A83"/>
    <w:rsid w:val="009F54F1"/>
    <w:rsid w:val="00A705F6"/>
    <w:rsid w:val="00A77365"/>
    <w:rsid w:val="00AD2065"/>
    <w:rsid w:val="00AF0714"/>
    <w:rsid w:val="00B94EA9"/>
    <w:rsid w:val="00BC294E"/>
    <w:rsid w:val="00BC5F10"/>
    <w:rsid w:val="00C04441"/>
    <w:rsid w:val="00C144CC"/>
    <w:rsid w:val="00C21D8B"/>
    <w:rsid w:val="00C97AFA"/>
    <w:rsid w:val="00CC7D5F"/>
    <w:rsid w:val="00CE7F04"/>
    <w:rsid w:val="00CF56CB"/>
    <w:rsid w:val="00D2299D"/>
    <w:rsid w:val="00D23355"/>
    <w:rsid w:val="00D60CCE"/>
    <w:rsid w:val="00D72BD4"/>
    <w:rsid w:val="00DB1389"/>
    <w:rsid w:val="00DB1F8E"/>
    <w:rsid w:val="00DC5FDC"/>
    <w:rsid w:val="00DE7934"/>
    <w:rsid w:val="00E46DD4"/>
    <w:rsid w:val="00EC4AA2"/>
    <w:rsid w:val="00ED46EA"/>
    <w:rsid w:val="00EF4E45"/>
    <w:rsid w:val="00F061D6"/>
    <w:rsid w:val="00FD0F6A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127</c:v>
                </c:pt>
                <c:pt idx="1">
                  <c:v>128.4</c:v>
                </c:pt>
                <c:pt idx="2">
                  <c:v>127.7</c:v>
                </c:pt>
                <c:pt idx="3">
                  <c:v>125.6</c:v>
                </c:pt>
                <c:pt idx="4">
                  <c:v>127.4</c:v>
                </c:pt>
                <c:pt idx="5">
                  <c:v>126.4</c:v>
                </c:pt>
                <c:pt idx="6">
                  <c:v>117.8</c:v>
                </c:pt>
                <c:pt idx="7">
                  <c:v>128</c:v>
                </c:pt>
                <c:pt idx="8">
                  <c:v>123.3</c:v>
                </c:pt>
                <c:pt idx="9">
                  <c:v>128.30000000000001</c:v>
                </c:pt>
                <c:pt idx="10">
                  <c:v>128.19999999999999</c:v>
                </c:pt>
                <c:pt idx="11">
                  <c:v>128.30000000000001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129.9</c:v>
                </c:pt>
                <c:pt idx="1">
                  <c:v>129.5</c:v>
                </c:pt>
                <c:pt idx="2">
                  <c:v>131</c:v>
                </c:pt>
                <c:pt idx="3">
                  <c:v>133.9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479680"/>
        <c:axId val="115481216"/>
      </c:lineChart>
      <c:catAx>
        <c:axId val="11547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481216"/>
        <c:crosses val="autoZero"/>
        <c:auto val="1"/>
        <c:lblAlgn val="ctr"/>
        <c:lblOffset val="100"/>
        <c:noMultiLvlLbl val="0"/>
      </c:catAx>
      <c:valAx>
        <c:axId val="11548121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15479680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118.56850001459149</c:v>
                </c:pt>
                <c:pt idx="1">
                  <c:v>123.07369237782433</c:v>
                </c:pt>
                <c:pt idx="2">
                  <c:v>124.11978928037711</c:v>
                </c:pt>
                <c:pt idx="3">
                  <c:v>132.39714775292518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501696"/>
        <c:axId val="115507584"/>
      </c:lineChart>
      <c:catAx>
        <c:axId val="11550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507584"/>
        <c:crosses val="autoZero"/>
        <c:auto val="1"/>
        <c:lblAlgn val="ctr"/>
        <c:lblOffset val="100"/>
        <c:noMultiLvlLbl val="0"/>
      </c:catAx>
      <c:valAx>
        <c:axId val="11550758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1550169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1D00-073E-49A5-B79C-C77F59E7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</cp:lastModifiedBy>
  <cp:revision>2</cp:revision>
  <cp:lastPrinted>2017-06-09T08:49:00Z</cp:lastPrinted>
  <dcterms:created xsi:type="dcterms:W3CDTF">2017-06-12T10:00:00Z</dcterms:created>
  <dcterms:modified xsi:type="dcterms:W3CDTF">2017-06-12T10:00:00Z</dcterms:modified>
</cp:coreProperties>
</file>