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70"/>
        <w:gridCol w:w="4229"/>
      </w:tblGrid>
      <w:tr w:rsidR="00AD2065" w14:paraId="26D9D0DE" w14:textId="77777777" w:rsidTr="006C455B">
        <w:trPr>
          <w:trHeight w:val="915"/>
        </w:trPr>
        <w:tc>
          <w:tcPr>
            <w:tcW w:w="5644" w:type="dxa"/>
            <w:vAlign w:val="center"/>
          </w:tcPr>
          <w:p w14:paraId="2F11B8BC" w14:textId="77777777" w:rsidR="00907E0D" w:rsidRDefault="006C455B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2017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677F1E">
              <w:rPr>
                <w:rFonts w:asciiTheme="majorHAnsi" w:eastAsiaTheme="majorEastAsia" w:hAnsiTheme="majorHAnsi" w:cstheme="majorBidi"/>
                <w:sz w:val="36"/>
                <w:szCs w:val="36"/>
              </w:rPr>
              <w:t>OCAK</w:t>
            </w:r>
            <w:r w:rsidR="00D33789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- </w:t>
            </w:r>
            <w:r w:rsidR="00677F1E">
              <w:rPr>
                <w:rFonts w:asciiTheme="majorHAnsi" w:eastAsiaTheme="majorEastAsia" w:hAnsiTheme="majorHAnsi" w:cstheme="majorBidi"/>
                <w:sz w:val="36"/>
                <w:szCs w:val="36"/>
              </w:rPr>
              <w:t>MART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14:paraId="55E8D79E" w14:textId="77777777" w:rsidR="00AD2065" w:rsidRDefault="005C267C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GSYH Büyümesi</w:t>
            </w:r>
          </w:p>
        </w:tc>
        <w:tc>
          <w:tcPr>
            <w:tcW w:w="4678" w:type="dxa"/>
          </w:tcPr>
          <w:p w14:paraId="60A4A1A3" w14:textId="77777777" w:rsidR="00AD2065" w:rsidRDefault="00677F1E" w:rsidP="006C455B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</w:t>
            </w:r>
            <w:r w:rsidR="006C455B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Haziran</w:t>
            </w:r>
            <w:r w:rsidR="006C455B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2017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3F01ED9E" wp14:editId="4805911A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14:paraId="0D2EA8A5" w14:textId="77777777" w:rsidR="00AD2065" w:rsidRDefault="00AD2065" w:rsidP="00AD2065">
      <w:pPr>
        <w:pStyle w:val="stbilgi"/>
      </w:pPr>
    </w:p>
    <w:p w14:paraId="52088D2B" w14:textId="77777777" w:rsidR="00AD2065" w:rsidRPr="00EF4E45" w:rsidRDefault="006C455B" w:rsidP="00AD2065">
      <w:pPr>
        <w:rPr>
          <w:b/>
        </w:rPr>
      </w:pPr>
      <w:r>
        <w:rPr>
          <w:b/>
        </w:rPr>
        <w:t>Ocak – Mart 2017</w:t>
      </w:r>
      <w:r w:rsidR="00EF4E45" w:rsidRPr="00EF4E45">
        <w:rPr>
          <w:b/>
        </w:rPr>
        <w:t xml:space="preserve"> </w:t>
      </w:r>
      <w:r w:rsidR="005C267C">
        <w:rPr>
          <w:b/>
        </w:rPr>
        <w:t>Gayri Safi Yurtiçi Hasıla</w:t>
      </w:r>
      <w:r w:rsidR="0025152A">
        <w:rPr>
          <w:b/>
        </w:rPr>
        <w:t>sına</w:t>
      </w:r>
      <w:r w:rsidR="00EF4E45" w:rsidRPr="00EF4E45">
        <w:rPr>
          <w:b/>
        </w:rPr>
        <w:t xml:space="preserve"> ilişkin veriler Türkiye İstat</w:t>
      </w:r>
      <w:r w:rsidR="007441EB">
        <w:rPr>
          <w:b/>
        </w:rPr>
        <w:t xml:space="preserve">istik Kurumu (TÜİK) tarafından </w:t>
      </w:r>
      <w:r w:rsidR="00677F1E">
        <w:rPr>
          <w:b/>
        </w:rPr>
        <w:t>1</w:t>
      </w:r>
      <w:r>
        <w:rPr>
          <w:b/>
        </w:rPr>
        <w:t>2</w:t>
      </w:r>
      <w:r w:rsidR="00677F1E">
        <w:rPr>
          <w:b/>
        </w:rPr>
        <w:t xml:space="preserve"> Haziran </w:t>
      </w:r>
      <w:r>
        <w:rPr>
          <w:b/>
        </w:rPr>
        <w:t>2017</w:t>
      </w:r>
      <w:r w:rsidR="00D33789">
        <w:rPr>
          <w:b/>
        </w:rPr>
        <w:t xml:space="preserve"> </w:t>
      </w:r>
      <w:r w:rsidR="00EF4E45" w:rsidRPr="00EF4E45">
        <w:rPr>
          <w:b/>
        </w:rPr>
        <w:t>tarihinde yayımlandı.</w:t>
      </w:r>
    </w:p>
    <w:p w14:paraId="2D1C928C" w14:textId="77777777" w:rsidR="00D33789" w:rsidRDefault="006C455B" w:rsidP="005C267C">
      <w:pPr>
        <w:pStyle w:val="Balk1"/>
      </w:pPr>
      <w:r>
        <w:t>2017</w:t>
      </w:r>
      <w:r w:rsidR="00D33789">
        <w:t xml:space="preserve"> yılı</w:t>
      </w:r>
      <w:r w:rsidR="00677F1E">
        <w:t xml:space="preserve"> ilk çeyreğinde</w:t>
      </w:r>
      <w:r w:rsidR="005C267C">
        <w:t xml:space="preserve"> GSYH büyümesi yüzde </w:t>
      </w:r>
      <w:r w:rsidR="00965416">
        <w:t>5</w:t>
      </w:r>
      <w:r w:rsidR="005C267C">
        <w:t xml:space="preserve"> oldu.</w:t>
      </w:r>
    </w:p>
    <w:p w14:paraId="3C2EDC3A" w14:textId="45C66A52" w:rsidR="00810D6C" w:rsidRDefault="00DE4BD4" w:rsidP="00FD0F6A">
      <w:pPr>
        <w:jc w:val="both"/>
        <w:outlineLvl w:val="1"/>
      </w:pPr>
      <w:r>
        <w:t>2017</w:t>
      </w:r>
      <w:r w:rsidR="00677F1E">
        <w:t xml:space="preserve"> yılı Ocak-Mart döneminde</w:t>
      </w:r>
      <w:r w:rsidR="00D33789">
        <w:t xml:space="preserve"> </w:t>
      </w:r>
      <w:r>
        <w:t>GSYH</w:t>
      </w:r>
      <w:r w:rsidR="00810D6C">
        <w:t xml:space="preserve"> </w:t>
      </w:r>
      <w:r w:rsidR="00810D6C">
        <w:rPr>
          <w:b/>
        </w:rPr>
        <w:t>zincirlenmiş hacim endeksi</w:t>
      </w:r>
      <w:r>
        <w:t>, 2016</w:t>
      </w:r>
      <w:r w:rsidR="005C267C">
        <w:t xml:space="preserve"> yılı</w:t>
      </w:r>
      <w:r w:rsidR="00677F1E">
        <w:t>nın aynı dönemine</w:t>
      </w:r>
      <w:r w:rsidR="005C267C">
        <w:t xml:space="preserve"> oranla yüzde </w:t>
      </w:r>
      <w:r w:rsidR="00810D6C">
        <w:t>5</w:t>
      </w:r>
      <w:r w:rsidR="005C267C">
        <w:t xml:space="preserve"> </w:t>
      </w:r>
      <w:r w:rsidR="00B31676">
        <w:t>artarak beklentilerin üzerinde bir performans sergiledi</w:t>
      </w:r>
      <w:r w:rsidR="00120BDD">
        <w:t xml:space="preserve"> </w:t>
      </w:r>
      <w:r w:rsidR="005F0574">
        <w:t>(Şekil 1)</w:t>
      </w:r>
      <w:r w:rsidR="005C267C">
        <w:t xml:space="preserve">. </w:t>
      </w:r>
      <w:r w:rsidR="00A70B17">
        <w:t xml:space="preserve">Endeks </w:t>
      </w:r>
      <w:r w:rsidR="00A70B17" w:rsidRPr="00A70B17">
        <w:rPr>
          <w:b/>
        </w:rPr>
        <w:t>takvim etkisinden arındırıldığında</w:t>
      </w:r>
      <w:r w:rsidR="00A70B17">
        <w:t xml:space="preserve"> yüzde 4,7, </w:t>
      </w:r>
      <w:r w:rsidR="00A70B17" w:rsidRPr="00A70B17">
        <w:rPr>
          <w:b/>
        </w:rPr>
        <w:t>mevsim ve takvim etkisinden arındırıldığında</w:t>
      </w:r>
      <w:r w:rsidR="00A70B17">
        <w:t xml:space="preserve"> ise yüzde 1,4’lük bir artış </w:t>
      </w:r>
      <w:r w:rsidR="00A158C5">
        <w:t>gösterdi</w:t>
      </w:r>
      <w:r w:rsidR="00A70B17">
        <w:t xml:space="preserve">. </w:t>
      </w:r>
      <w:r w:rsidR="005C267C" w:rsidRPr="005C267C">
        <w:rPr>
          <w:b/>
        </w:rPr>
        <w:t>Cari fiyatlarla</w:t>
      </w:r>
      <w:r w:rsidR="005C267C">
        <w:t xml:space="preserve"> bakıldığında </w:t>
      </w:r>
      <w:r w:rsidR="005B7DBC">
        <w:t>büyümenin</w:t>
      </w:r>
      <w:r w:rsidR="00D33789">
        <w:t xml:space="preserve"> yüzde</w:t>
      </w:r>
      <w:r w:rsidR="005B7DBC">
        <w:t xml:space="preserve"> </w:t>
      </w:r>
      <w:r w:rsidR="00810D6C">
        <w:t>14,3</w:t>
      </w:r>
      <w:r w:rsidR="005B7DBC">
        <w:t xml:space="preserve"> seviyesinde olduğu</w:t>
      </w:r>
      <w:r w:rsidR="00A158C5">
        <w:t xml:space="preserve"> ve</w:t>
      </w:r>
      <w:r w:rsidR="002675CA">
        <w:t xml:space="preserve"> </w:t>
      </w:r>
      <w:r w:rsidR="00810D6C">
        <w:t>641,6</w:t>
      </w:r>
      <w:r w:rsidR="005B7DBC">
        <w:t xml:space="preserve"> milyar</w:t>
      </w:r>
      <w:r w:rsidR="002675CA">
        <w:t xml:space="preserve"> TL</w:t>
      </w:r>
      <w:r w:rsidR="00A158C5">
        <w:t xml:space="preserve"> olarak gerçekleştiği görülmektedir.</w:t>
      </w:r>
    </w:p>
    <w:p w14:paraId="6CC36EF7" w14:textId="77777777" w:rsidR="00B31676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2675CA">
        <w:rPr>
          <w:rFonts w:eastAsia="Times New Roman" w:cs="Times New Roman"/>
          <w:b/>
          <w:bCs/>
          <w:kern w:val="36"/>
          <w:sz w:val="24"/>
          <w:szCs w:val="24"/>
        </w:rPr>
        <w:t>Çeyrekler</w:t>
      </w:r>
      <w:r w:rsidR="00810D6C">
        <w:rPr>
          <w:rFonts w:eastAsia="Times New Roman" w:cs="Times New Roman"/>
          <w:b/>
          <w:bCs/>
          <w:kern w:val="36"/>
          <w:sz w:val="24"/>
          <w:szCs w:val="24"/>
        </w:rPr>
        <w:t>e göre GSYH büyüme hızları, 2016-2017</w:t>
      </w:r>
      <w:r w:rsidR="002675C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</w:p>
    <w:p w14:paraId="2084E807" w14:textId="77777777" w:rsidR="0043515F" w:rsidRDefault="002675CA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(</w:t>
      </w:r>
      <w:r w:rsidR="00810D6C">
        <w:rPr>
          <w:rFonts w:eastAsia="Times New Roman" w:cs="Times New Roman"/>
          <w:b/>
          <w:bCs/>
          <w:kern w:val="36"/>
          <w:sz w:val="24"/>
          <w:szCs w:val="24"/>
        </w:rPr>
        <w:t>Zincirlenmiş hacim endeksi</w:t>
      </w:r>
      <w:r w:rsidR="00B31676">
        <w:rPr>
          <w:rFonts w:eastAsia="Times New Roman" w:cs="Times New Roman"/>
          <w:b/>
          <w:bCs/>
          <w:kern w:val="36"/>
          <w:sz w:val="24"/>
          <w:szCs w:val="24"/>
        </w:rPr>
        <w:t>, 2009=100</w:t>
      </w:r>
      <w:r>
        <w:rPr>
          <w:rFonts w:eastAsia="Times New Roman" w:cs="Times New Roman"/>
          <w:b/>
          <w:bCs/>
          <w:kern w:val="36"/>
          <w:sz w:val="24"/>
          <w:szCs w:val="24"/>
        </w:rPr>
        <w:t>)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</w:p>
    <w:p w14:paraId="25C61668" w14:textId="77777777" w:rsidR="00FD0F6A" w:rsidRDefault="00A70B17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>
        <w:rPr>
          <w:noProof/>
        </w:rPr>
        <w:drawing>
          <wp:inline distT="0" distB="0" distL="0" distR="0" wp14:anchorId="189C6FF5" wp14:editId="447FD7DB">
            <wp:extent cx="5486400" cy="280225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B5660A9" w14:textId="77777777" w:rsidR="006B0665" w:rsidRDefault="006B0665" w:rsidP="006B0665">
      <w:pPr>
        <w:pStyle w:val="Balk1"/>
      </w:pPr>
      <w:r>
        <w:t xml:space="preserve">İmalat sanayi büyümesi </w:t>
      </w:r>
      <w:r w:rsidR="00A70B17">
        <w:t>2017</w:t>
      </w:r>
      <w:r w:rsidR="00120BDD">
        <w:t xml:space="preserve"> yılın</w:t>
      </w:r>
      <w:r w:rsidR="00A70B17">
        <w:t>ın ilk çeyreğinde yüzde 5,3 oldu</w:t>
      </w:r>
    </w:p>
    <w:p w14:paraId="7BC6F4CE" w14:textId="17D161C6" w:rsidR="005F0574" w:rsidRDefault="005F0574" w:rsidP="00FD0F6A">
      <w:pPr>
        <w:jc w:val="both"/>
        <w:outlineLvl w:val="1"/>
      </w:pPr>
      <w:r>
        <w:t>Üretim yöntemiyle GSYH hesaplarına i</w:t>
      </w:r>
      <w:r w:rsidR="002F3774">
        <w:t xml:space="preserve">ktisadi faaliyet kollarına göre bakıldığında imalat sanayinin </w:t>
      </w:r>
      <w:r w:rsidR="00A70B17">
        <w:t>2017</w:t>
      </w:r>
      <w:r w:rsidR="00120BDD">
        <w:t xml:space="preserve"> yılın</w:t>
      </w:r>
      <w:r w:rsidR="00A70B17">
        <w:t>ın ilk çeyreğinde</w:t>
      </w:r>
      <w:r w:rsidR="002F3774">
        <w:t xml:space="preserve">, </w:t>
      </w:r>
      <w:r w:rsidR="00A70B17">
        <w:t>zincirlenmiş hacim endeksi olarak</w:t>
      </w:r>
      <w:r w:rsidR="002F3774">
        <w:t xml:space="preserve"> yüzde </w:t>
      </w:r>
      <w:r w:rsidR="00A70B17">
        <w:t>5,3</w:t>
      </w:r>
      <w:r w:rsidR="002F3774">
        <w:t xml:space="preserve"> büyüdüğü </w:t>
      </w:r>
      <w:r w:rsidR="00B31676">
        <w:t>görüldü</w:t>
      </w:r>
      <w:r w:rsidR="00120BDD">
        <w:t xml:space="preserve">. </w:t>
      </w:r>
      <w:r w:rsidR="00A70B17">
        <w:t xml:space="preserve">Aynı </w:t>
      </w:r>
      <w:r w:rsidR="00B31676">
        <w:t>dönemde tarım sektörü yüzde 3,2 ve</w:t>
      </w:r>
      <w:r w:rsidR="00A70B17">
        <w:t xml:space="preserve"> in</w:t>
      </w:r>
      <w:r w:rsidR="00B31676">
        <w:t>şaat sektörü yüzde 3,7 büyürken; hizmetler sektörü yüzde 5,2 büyüdü. İktisadi faaliyet kollarına göre büyümeye en büyük katkıyı hizmetler (1,17</w:t>
      </w:r>
      <w:r w:rsidR="00A158C5">
        <w:t xml:space="preserve"> puan</w:t>
      </w:r>
      <w:r w:rsidR="00B31676">
        <w:t xml:space="preserve">) </w:t>
      </w:r>
      <w:r w:rsidR="002E1E27">
        <w:t>ve sanayi (1,12</w:t>
      </w:r>
      <w:r w:rsidR="00A158C5">
        <w:t xml:space="preserve"> puan</w:t>
      </w:r>
      <w:r w:rsidR="002E1E27">
        <w:t xml:space="preserve">) </w:t>
      </w:r>
      <w:r w:rsidR="00B31676">
        <w:t>sektörlerinin yaptığı görüldü.</w:t>
      </w:r>
    </w:p>
    <w:p w14:paraId="1AAA72A2" w14:textId="77777777" w:rsidR="006B0665" w:rsidRDefault="00B31676" w:rsidP="006B0665">
      <w:pPr>
        <w:pStyle w:val="Balk1"/>
      </w:pPr>
      <w:r>
        <w:lastRenderedPageBreak/>
        <w:t>İlk çeyrekte</w:t>
      </w:r>
      <w:r w:rsidR="006B0665">
        <w:t xml:space="preserve"> en </w:t>
      </w:r>
      <w:r w:rsidR="00120BDD">
        <w:t>büyük artış</w:t>
      </w:r>
      <w:r>
        <w:t xml:space="preserve"> devletin</w:t>
      </w:r>
      <w:r w:rsidR="00796944">
        <w:t xml:space="preserve"> nihai tüketim harcamalarında yaşandı </w:t>
      </w:r>
    </w:p>
    <w:p w14:paraId="370DE6F8" w14:textId="75006BD5" w:rsidR="002C38F7" w:rsidRDefault="002E1E27" w:rsidP="00B31676">
      <w:pPr>
        <w:jc w:val="both"/>
      </w:pPr>
      <w:r>
        <w:t xml:space="preserve">Ana harcama gruplarında </w:t>
      </w:r>
      <w:r w:rsidR="00FB4F18">
        <w:t>GSYH hesaplarına</w:t>
      </w:r>
      <w:r w:rsidR="005F0574">
        <w:t xml:space="preserve"> </w:t>
      </w:r>
      <w:r w:rsidR="00B31676">
        <w:t>zincirleme hacim endeksi bazında</w:t>
      </w:r>
      <w:r w:rsidR="00FB4F18">
        <w:t xml:space="preserve"> bakıldığında </w:t>
      </w:r>
      <w:r w:rsidR="00B31676">
        <w:t>2017</w:t>
      </w:r>
      <w:r w:rsidR="00796944">
        <w:t xml:space="preserve"> yılı ilk çeyreğinde</w:t>
      </w:r>
      <w:r w:rsidR="00120BDD">
        <w:t xml:space="preserve"> </w:t>
      </w:r>
      <w:r>
        <w:t>en yüksek büyümenin yüzde 10,6 ile mal-hizmet ihracatı</w:t>
      </w:r>
      <w:r w:rsidR="002C38F7">
        <w:t>nda</w:t>
      </w:r>
      <w:r w:rsidR="00A158C5">
        <w:t xml:space="preserve"> olduğu,</w:t>
      </w:r>
      <w:r>
        <w:t xml:space="preserve"> onu </w:t>
      </w:r>
      <w:r w:rsidR="00FB4F18">
        <w:t xml:space="preserve">yüzde </w:t>
      </w:r>
      <w:r w:rsidR="00B31676">
        <w:t xml:space="preserve">9,4 </w:t>
      </w:r>
      <w:r w:rsidR="00FB4F18">
        <w:t xml:space="preserve">ile </w:t>
      </w:r>
      <w:r w:rsidR="00B31676">
        <w:t>devletin</w:t>
      </w:r>
      <w:r>
        <w:t xml:space="preserve"> nihai tüketim harcamasının takip ettiği </w:t>
      </w:r>
      <w:r w:rsidR="00120BDD">
        <w:t>görülmektedir (Tablo 1</w:t>
      </w:r>
      <w:r w:rsidR="00FB4F18">
        <w:t xml:space="preserve">). </w:t>
      </w:r>
      <w:proofErr w:type="spellStart"/>
      <w:r w:rsidR="00B31676">
        <w:t>Hanehalklarının</w:t>
      </w:r>
      <w:proofErr w:type="spellEnd"/>
      <w:r w:rsidR="00FB4F18">
        <w:t xml:space="preserve"> nihai tüketim harcamaları </w:t>
      </w:r>
      <w:r w:rsidR="00981414">
        <w:t>ise yüzde</w:t>
      </w:r>
      <w:r w:rsidR="00796944">
        <w:t xml:space="preserve"> </w:t>
      </w:r>
      <w:r w:rsidR="00B31676">
        <w:t>5,1</w:t>
      </w:r>
      <w:r w:rsidR="00796944">
        <w:t>’li</w:t>
      </w:r>
      <w:r w:rsidR="00981414">
        <w:t>k büyüme ile</w:t>
      </w:r>
      <w:r w:rsidR="00BE4E89">
        <w:t xml:space="preserve"> takip etmiş</w:t>
      </w:r>
      <w:r w:rsidR="00A158C5">
        <w:t>,</w:t>
      </w:r>
      <w:r w:rsidR="002C38F7">
        <w:t xml:space="preserve"> bu kalem 3,1 puan ile büyümeye harcamalar yönünde</w:t>
      </w:r>
      <w:r w:rsidR="00A158C5">
        <w:t>n</w:t>
      </w:r>
      <w:r w:rsidR="002C38F7">
        <w:t xml:space="preserve"> en büyük katkıyı yapmıştır. En hızlı büyüyen mal ve hizmet ihracatının büyümeye katkısı 2,4 puan olurken; devletin nihai tüketim harcamaları (1,3 puan), gayrisafi sabit sermaye oluşumu (0,7 puan) takip etmiştir.</w:t>
      </w:r>
    </w:p>
    <w:p w14:paraId="48AD3BAC" w14:textId="77777777" w:rsidR="00810D6C" w:rsidRDefault="00D74B7F" w:rsidP="00FE2D1A">
      <w:pPr>
        <w:jc w:val="both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Tablo 1</w:t>
      </w:r>
      <w:r w:rsidR="006B0665">
        <w:rPr>
          <w:rFonts w:eastAsia="Times New Roman" w:cs="Times New Roman"/>
          <w:b/>
          <w:bCs/>
          <w:kern w:val="36"/>
          <w:sz w:val="24"/>
          <w:szCs w:val="24"/>
        </w:rPr>
        <w:t>: Harcama yöntemiy</w:t>
      </w:r>
      <w:r w:rsidR="00810D6C">
        <w:rPr>
          <w:rFonts w:eastAsia="Times New Roman" w:cs="Times New Roman"/>
          <w:b/>
          <w:bCs/>
          <w:kern w:val="36"/>
          <w:sz w:val="24"/>
          <w:szCs w:val="24"/>
        </w:rPr>
        <w:t>le çeyreklik GSYH büyümesi, 2016-2017</w:t>
      </w:r>
      <w:r w:rsidR="006B0665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</w:p>
    <w:p w14:paraId="38D6FE64" w14:textId="77777777" w:rsidR="006B0665" w:rsidRDefault="006B0665" w:rsidP="00FE2D1A">
      <w:pPr>
        <w:jc w:val="both"/>
      </w:pPr>
      <w:r>
        <w:rPr>
          <w:rFonts w:eastAsia="Times New Roman" w:cs="Times New Roman"/>
          <w:b/>
          <w:bCs/>
          <w:kern w:val="36"/>
          <w:sz w:val="24"/>
          <w:szCs w:val="24"/>
        </w:rPr>
        <w:t>(</w:t>
      </w:r>
      <w:r w:rsidR="00810D6C">
        <w:rPr>
          <w:rFonts w:eastAsia="Times New Roman" w:cs="Times New Roman"/>
          <w:b/>
          <w:bCs/>
          <w:kern w:val="36"/>
          <w:sz w:val="24"/>
          <w:szCs w:val="24"/>
        </w:rPr>
        <w:t>zincirlenmiş hacim endeksi, 2009=100</w:t>
      </w:r>
      <w:r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583"/>
        <w:gridCol w:w="1537"/>
        <w:gridCol w:w="1420"/>
        <w:gridCol w:w="1600"/>
        <w:gridCol w:w="1840"/>
        <w:gridCol w:w="1480"/>
        <w:gridCol w:w="1800"/>
      </w:tblGrid>
      <w:tr w:rsidR="00810D6C" w:rsidRPr="00810D6C" w14:paraId="18910414" w14:textId="77777777" w:rsidTr="00810D6C">
        <w:trPr>
          <w:trHeight w:val="860"/>
        </w:trPr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A120E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60C0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proofErr w:type="spellStart"/>
            <w:r w:rsidRPr="00810D6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Hanehalkı</w:t>
            </w:r>
            <w:proofErr w:type="spellEnd"/>
            <w:r w:rsidRPr="00810D6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 xml:space="preserve"> nihai tüketimi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9266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Devletin nihai tüketimi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1538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Gayri safi sabit sermaye oluşumu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EC7BA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Mal ve hizmet ihracatı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1283A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Mal ve hizmet ithalatı (eksi)</w:t>
            </w:r>
          </w:p>
        </w:tc>
      </w:tr>
      <w:tr w:rsidR="00810D6C" w:rsidRPr="00810D6C" w14:paraId="5A0CE2BE" w14:textId="77777777" w:rsidTr="00810D6C">
        <w:trPr>
          <w:trHeight w:val="300"/>
        </w:trPr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61FED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8477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9A01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EADD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D33D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B926B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 </w:t>
            </w:r>
          </w:p>
        </w:tc>
      </w:tr>
      <w:tr w:rsidR="00810D6C" w:rsidRPr="00810D6C" w14:paraId="2B88A725" w14:textId="77777777" w:rsidTr="00810D6C">
        <w:trPr>
          <w:trHeight w:val="28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6384FD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C250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6030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E548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10,5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DED0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9B5D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1,4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BC4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2,7</w:t>
            </w:r>
          </w:p>
        </w:tc>
      </w:tr>
      <w:tr w:rsidR="00810D6C" w:rsidRPr="00810D6C" w14:paraId="393DF5C5" w14:textId="77777777" w:rsidTr="00810D6C">
        <w:trPr>
          <w:trHeight w:val="28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810139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A5D2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5962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4,1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D440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14,4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7850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5F77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(-)1,9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5403B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7,2</w:t>
            </w:r>
          </w:p>
        </w:tc>
      </w:tr>
      <w:tr w:rsidR="00810D6C" w:rsidRPr="00810D6C" w14:paraId="42AE6D51" w14:textId="77777777" w:rsidTr="00810D6C">
        <w:trPr>
          <w:trHeight w:val="28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A5458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7C46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III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6E22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(-)1,7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ECFD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6933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815A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(-)9,3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61989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2,1</w:t>
            </w:r>
          </w:p>
        </w:tc>
      </w:tr>
      <w:tr w:rsidR="00810D6C" w:rsidRPr="00810D6C" w14:paraId="6513AD9A" w14:textId="77777777" w:rsidTr="00810D6C">
        <w:trPr>
          <w:trHeight w:val="300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4A062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8EEB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IV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9380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5,7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964D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0,8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EB07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4A54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249BE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3,3</w:t>
            </w:r>
          </w:p>
        </w:tc>
      </w:tr>
      <w:tr w:rsidR="00810D6C" w:rsidRPr="00810D6C" w14:paraId="39251CE8" w14:textId="77777777" w:rsidTr="00810D6C">
        <w:trPr>
          <w:trHeight w:val="300"/>
        </w:trPr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D3E6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E80F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688E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F903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B15E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055B7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 </w:t>
            </w:r>
          </w:p>
        </w:tc>
      </w:tr>
      <w:tr w:rsidR="00810D6C" w:rsidRPr="00810D6C" w14:paraId="16A6E919" w14:textId="77777777" w:rsidTr="00810D6C">
        <w:trPr>
          <w:trHeight w:val="28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2B870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7775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8404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5,1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765A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9,4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3FEC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29C8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10,6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BD0D3" w14:textId="77777777" w:rsidR="00810D6C" w:rsidRPr="00810D6C" w:rsidRDefault="00810D6C" w:rsidP="0081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10D6C">
              <w:rPr>
                <w:rFonts w:ascii="Calibri" w:eastAsia="Times New Roman" w:hAnsi="Calibri" w:cs="Times New Roman"/>
                <w:color w:val="000000"/>
                <w:lang w:eastAsia="en-US"/>
              </w:rPr>
              <w:t>0,8</w:t>
            </w:r>
          </w:p>
        </w:tc>
      </w:tr>
    </w:tbl>
    <w:p w14:paraId="1C4931A3" w14:textId="77777777" w:rsidR="00FB4F18" w:rsidRDefault="00FB4F18" w:rsidP="00FE2D1A">
      <w:pPr>
        <w:jc w:val="both"/>
      </w:pPr>
    </w:p>
    <w:sectPr w:rsidR="00FB4F18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0467B" w14:textId="77777777" w:rsidR="00D15AF8" w:rsidRDefault="00D15AF8" w:rsidP="00C04441">
      <w:pPr>
        <w:spacing w:after="0" w:line="240" w:lineRule="auto"/>
      </w:pPr>
      <w:r>
        <w:separator/>
      </w:r>
    </w:p>
  </w:endnote>
  <w:endnote w:type="continuationSeparator" w:id="0">
    <w:p w14:paraId="36892FEB" w14:textId="77777777" w:rsidR="00D15AF8" w:rsidRDefault="00D15AF8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66E2C" w14:textId="77777777" w:rsidR="00D15AF8" w:rsidRDefault="00D15AF8" w:rsidP="00C04441">
      <w:pPr>
        <w:spacing w:after="0" w:line="240" w:lineRule="auto"/>
      </w:pPr>
      <w:r>
        <w:separator/>
      </w:r>
    </w:p>
  </w:footnote>
  <w:footnote w:type="continuationSeparator" w:id="0">
    <w:p w14:paraId="23EB93D3" w14:textId="77777777" w:rsidR="00D15AF8" w:rsidRDefault="00D15AF8" w:rsidP="00C0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41762"/>
    <w:rsid w:val="000701FD"/>
    <w:rsid w:val="000A3D71"/>
    <w:rsid w:val="000B7EA9"/>
    <w:rsid w:val="000D18BE"/>
    <w:rsid w:val="00112C0F"/>
    <w:rsid w:val="00120BDD"/>
    <w:rsid w:val="001243A0"/>
    <w:rsid w:val="00160C8F"/>
    <w:rsid w:val="00192B34"/>
    <w:rsid w:val="001D1E58"/>
    <w:rsid w:val="001E11A2"/>
    <w:rsid w:val="001E5A63"/>
    <w:rsid w:val="001F7633"/>
    <w:rsid w:val="00216803"/>
    <w:rsid w:val="00233BD5"/>
    <w:rsid w:val="0025152A"/>
    <w:rsid w:val="002675CA"/>
    <w:rsid w:val="002B2CC6"/>
    <w:rsid w:val="002B53E4"/>
    <w:rsid w:val="002C38F7"/>
    <w:rsid w:val="002D3E19"/>
    <w:rsid w:val="002E1E27"/>
    <w:rsid w:val="002F3774"/>
    <w:rsid w:val="00351561"/>
    <w:rsid w:val="00357954"/>
    <w:rsid w:val="003641B3"/>
    <w:rsid w:val="003A57CB"/>
    <w:rsid w:val="003F2715"/>
    <w:rsid w:val="00424CC0"/>
    <w:rsid w:val="00432DF5"/>
    <w:rsid w:val="0043515F"/>
    <w:rsid w:val="004A3E6D"/>
    <w:rsid w:val="004D5C8C"/>
    <w:rsid w:val="00517288"/>
    <w:rsid w:val="00522A6C"/>
    <w:rsid w:val="005405F5"/>
    <w:rsid w:val="00544D61"/>
    <w:rsid w:val="00574C38"/>
    <w:rsid w:val="005B7DBC"/>
    <w:rsid w:val="005C267C"/>
    <w:rsid w:val="005C53F8"/>
    <w:rsid w:val="005F0574"/>
    <w:rsid w:val="006020BD"/>
    <w:rsid w:val="00677B0D"/>
    <w:rsid w:val="00677F1E"/>
    <w:rsid w:val="006B0665"/>
    <w:rsid w:val="006C455B"/>
    <w:rsid w:val="006D41B5"/>
    <w:rsid w:val="0070186C"/>
    <w:rsid w:val="00731B2B"/>
    <w:rsid w:val="007330A1"/>
    <w:rsid w:val="007441EB"/>
    <w:rsid w:val="00756492"/>
    <w:rsid w:val="007736BE"/>
    <w:rsid w:val="00796944"/>
    <w:rsid w:val="007B58E6"/>
    <w:rsid w:val="00810D6C"/>
    <w:rsid w:val="008A575D"/>
    <w:rsid w:val="008C2C15"/>
    <w:rsid w:val="008C7F9E"/>
    <w:rsid w:val="008D1077"/>
    <w:rsid w:val="00907E0D"/>
    <w:rsid w:val="00923FD3"/>
    <w:rsid w:val="00935B34"/>
    <w:rsid w:val="00965416"/>
    <w:rsid w:val="00981414"/>
    <w:rsid w:val="009A6E86"/>
    <w:rsid w:val="009F0A83"/>
    <w:rsid w:val="009F54F1"/>
    <w:rsid w:val="00A158C5"/>
    <w:rsid w:val="00A705F6"/>
    <w:rsid w:val="00A70B17"/>
    <w:rsid w:val="00A77365"/>
    <w:rsid w:val="00AD2065"/>
    <w:rsid w:val="00B31676"/>
    <w:rsid w:val="00B94EA9"/>
    <w:rsid w:val="00BC294E"/>
    <w:rsid w:val="00BC5F10"/>
    <w:rsid w:val="00BE4E89"/>
    <w:rsid w:val="00C04441"/>
    <w:rsid w:val="00C144CC"/>
    <w:rsid w:val="00C21D8B"/>
    <w:rsid w:val="00C87408"/>
    <w:rsid w:val="00C97AFA"/>
    <w:rsid w:val="00CC7D5F"/>
    <w:rsid w:val="00D15AF8"/>
    <w:rsid w:val="00D2299D"/>
    <w:rsid w:val="00D23355"/>
    <w:rsid w:val="00D33789"/>
    <w:rsid w:val="00D74B7F"/>
    <w:rsid w:val="00DB1389"/>
    <w:rsid w:val="00DC5FDC"/>
    <w:rsid w:val="00DE4BD4"/>
    <w:rsid w:val="00DE6A8E"/>
    <w:rsid w:val="00DE7934"/>
    <w:rsid w:val="00EC4AA2"/>
    <w:rsid w:val="00EF4E45"/>
    <w:rsid w:val="00F061D6"/>
    <w:rsid w:val="00F308EA"/>
    <w:rsid w:val="00FB4F18"/>
    <w:rsid w:val="00FD0F6A"/>
    <w:rsid w:val="00FD661B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45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C2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5C2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C2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5C2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bengisu:Dropbox:Akademik%20Dan&#305;&#351;manlar:GSYHbilginotuveris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102412787266698E-2"/>
          <c:y val="5.4507337526205402E-2"/>
          <c:w val="0.87466016962012505"/>
          <c:h val="0.890985324947588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yeni!$E$14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yeni!$D$15:$D$18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yeni!$E$15:$E$18</c:f>
              <c:numCache>
                <c:formatCode>0.0%</c:formatCode>
                <c:ptCount val="4"/>
                <c:pt idx="0">
                  <c:v>4.4999999999999998E-2</c:v>
                </c:pt>
                <c:pt idx="1">
                  <c:v>5.2999999999999999E-2</c:v>
                </c:pt>
                <c:pt idx="2">
                  <c:v>-1.2999999999999999E-2</c:v>
                </c:pt>
                <c:pt idx="3">
                  <c:v>3.5000000000000003E-2</c:v>
                </c:pt>
              </c:numCache>
            </c:numRef>
          </c:val>
        </c:ser>
        <c:ser>
          <c:idx val="1"/>
          <c:order val="1"/>
          <c:tx>
            <c:strRef>
              <c:f>yeni!$F$14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yeni!$D$15:$D$18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yeni!$F$15:$F$18</c:f>
              <c:numCache>
                <c:formatCode>General</c:formatCode>
                <c:ptCount val="4"/>
                <c:pt idx="0" formatCode="0.0%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257920"/>
        <c:axId val="114259456"/>
      </c:barChart>
      <c:catAx>
        <c:axId val="114257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14259456"/>
        <c:crosses val="autoZero"/>
        <c:auto val="1"/>
        <c:lblAlgn val="ctr"/>
        <c:lblOffset val="100"/>
        <c:noMultiLvlLbl val="0"/>
      </c:catAx>
      <c:valAx>
        <c:axId val="114259456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114257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83387850073345"/>
          <c:y val="8.8750887271166604E-2"/>
          <c:w val="0.20397831695020999"/>
          <c:h val="0.16841017514320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444E9-1B2B-480B-8F4E-B6DA648F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x</cp:lastModifiedBy>
  <cp:revision>2</cp:revision>
  <dcterms:created xsi:type="dcterms:W3CDTF">2017-06-12T10:01:00Z</dcterms:created>
  <dcterms:modified xsi:type="dcterms:W3CDTF">2017-06-12T10:01:00Z</dcterms:modified>
</cp:coreProperties>
</file>